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B1302" w:rsidP="00230230" w:rsidRDefault="00230230" w14:paraId="18E03FE5" w14:textId="1E6B93D9">
      <w:pPr>
        <w:jc w:val="center"/>
        <w:rPr>
          <w:lang w:val="en-US"/>
        </w:rPr>
      </w:pPr>
      <w:r>
        <w:rPr>
          <w:noProof/>
        </w:rPr>
        <w:drawing>
          <wp:inline distT="0" distB="0" distL="0" distR="0" wp14:anchorId="20139E69" wp14:editId="2BB0ECED">
            <wp:extent cx="2884805" cy="853440"/>
            <wp:effectExtent l="0" t="0" r="0" b="3810"/>
            <wp:docPr id="1" name="Image 1" descr="Une image contenant texte, clipar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clipart&#10;&#10;Description générée automatiquement"/>
                    <pic:cNvPicPr>
                      <a:picLocks noChangeAspect="1"/>
                    </pic:cNvPicPr>
                  </pic:nvPicPr>
                  <pic:blipFill>
                    <a:blip r:embed="rId7" cstate="print">
                      <a:extLst>
                        <a:ext uri="{28A0092B-C50C-407E-A947-70E740481C1C}">
                          <a14:useLocalDpi xmlns:a14="http://schemas.microsoft.com/office/drawing/2010/main" val="0"/>
                        </a:ext>
                      </a:extLst>
                    </a:blip>
                    <a:srcRect t="-4721" b="-4721"/>
                    <a:stretch>
                      <a:fillRect/>
                    </a:stretch>
                  </pic:blipFill>
                  <pic:spPr bwMode="auto">
                    <a:xfrm>
                      <a:off x="0" y="0"/>
                      <a:ext cx="2884805" cy="853440"/>
                    </a:xfrm>
                    <a:prstGeom prst="rect">
                      <a:avLst/>
                    </a:prstGeom>
                    <a:solidFill>
                      <a:srgbClr val="FFFFFF"/>
                    </a:solidFill>
                    <a:ln>
                      <a:noFill/>
                    </a:ln>
                  </pic:spPr>
                </pic:pic>
              </a:graphicData>
            </a:graphic>
          </wp:inline>
        </w:drawing>
      </w:r>
    </w:p>
    <w:p w:rsidR="002A38E0" w:rsidP="002A38E0" w:rsidRDefault="00225351" w14:paraId="3767C218" w14:textId="3A4A6220">
      <w:pPr>
        <w:jc w:val="center"/>
        <w:rPr>
          <w:b/>
          <w:bCs/>
          <w:lang w:val="en-US"/>
        </w:rPr>
      </w:pPr>
      <w:r w:rsidRPr="002B1302">
        <w:rPr>
          <w:b/>
          <w:bCs/>
        </w:rPr>
        <w:t xml:space="preserve">TERMES DE RÉFÉRENCE (TDR)</w:t>
      </w:r>
    </w:p>
    <w:p w:rsidR="002A38E0" w:rsidP="002A38E0" w:rsidRDefault="002A38E0" w14:paraId="087ABF0C" w14:textId="6096A76D">
      <w:pPr>
        <w:jc w:val="center"/>
        <w:rPr>
          <w:b/>
          <w:bCs/>
          <w:lang w:val="en-US"/>
        </w:rPr>
      </w:pPr>
      <w:r w:rsidR="00581D26">
        <w:rPr>
          <w:b/>
          <w:bCs/>
          <w:lang w:val="en-US"/>
        </w:rPr>
        <w:t xml:space="preserve">Pour</w:t>
      </w:r>
    </w:p>
    <w:p w:rsidRPr="002B1302" w:rsidR="002B1302" w:rsidP="0024513E" w:rsidRDefault="002B1302" w14:paraId="311EBB96" w14:textId="016E6A08">
      <w:pPr>
        <w:jc w:val="center"/>
      </w:pPr>
      <w:r w:rsidRPr="002B1302">
        <w:rPr>
          <w:b/>
          <w:bCs/>
        </w:rPr>
        <w:t xml:space="preserve">Évaluation à mi-parcours du projet « Transformer les systèmes alimentaires africains pour les rendre durables » (TAFS)</w:t>
      </w:r>
    </w:p>
    <w:p w:rsidRPr="00903443" w:rsidR="002B1302" w:rsidP="006C2D68" w:rsidRDefault="002B1302" w14:paraId="51DB0405" w14:textId="18B2A9C2">
      <w:pPr>
        <w:pStyle w:val="ListParagraph"/>
        <w:numPr>
          <w:ilvl w:val="0"/>
          <w:numId w:val="14"/>
        </w:numPr>
        <w:rPr>
          <w:b/>
          <w:bCs/>
          <w:color w:val="4472C4" w:themeColor="accent1"/>
        </w:rPr>
      </w:pPr>
      <w:r w:rsidRPr="00903443">
        <w:rPr>
          <w:b/>
          <w:bCs/>
          <w:color w:val="4472C4" w:themeColor="accent1"/>
        </w:rPr>
        <w:t xml:space="preserve">Contexte</w:t>
      </w:r>
    </w:p>
    <w:p w:rsidRPr="00BC1336" w:rsidR="00D95749" w:rsidP="00D95749" w:rsidRDefault="00D95749" w14:paraId="089BC352" w14:textId="7D3A0A2A">
      <w:r w:rsidRPr="000039C4">
        <w:t xml:space="preserve">Le projet « Transformer les systèmes alimentaires africains pour les rendre durables » (TAFS) est un partenariat phare entre l'Alliance pour la souveraineté alimentaire en Afrique (AFSA) et l'Agence suédoise de coopération internationale au développement (SIDA), qui se déroulera de </w:t>
      </w:r>
      <w:r w:rsidR="00CA2842">
        <w:rPr>
          <w:lang w:val="en-US"/>
        </w:rPr>
        <w:t xml:space="preserve">janvier</w:t>
      </w:r>
      <w:r w:rsidR="00CA2842">
        <w:rPr>
          <w:lang w:val="en-US"/>
        </w:rPr>
        <w:t xml:space="preserve"> 2024 à décembre</w:t>
      </w:r>
      <w:r w:rsidRPr="000039C4">
        <w:t xml:space="preserve"> 2026. Il s'appuie sur la dynamique de l'initiative précédente « Mobilisation pour une politique alimentaire africaine » (2022-2023)</w:t>
      </w:r>
      <w:r w:rsidR="0024513E">
        <w:t xml:space="preserve">. </w:t>
      </w:r>
      <w:r w:rsidR="00336E17">
        <w:t xml:space="preserve">Le </w:t>
      </w:r>
      <w:r w:rsidR="0024513E">
        <w:t xml:space="preserve">projet</w:t>
      </w:r>
      <w:r w:rsidR="00336E17">
        <w:t xml:space="preserve"> TAFS </w:t>
      </w:r>
      <w:r w:rsidR="0024513E">
        <w:t xml:space="preserve">comporte deux volets : la </w:t>
      </w:r>
      <w:r w:rsidR="0024513E">
        <w:t xml:space="preserve">campagne</w:t>
      </w:r>
      <w:r w:rsidRPr="007B6BC3" w:rsidR="0024513E">
        <w:rPr>
          <w:i/>
          <w:iCs/>
        </w:rPr>
        <w:t xml:space="preserve"> « My Food Is African </w:t>
      </w:r>
      <w:r w:rsidR="0024513E">
        <w:t xml:space="preserve">»</w:t>
      </w:r>
      <w:r w:rsidR="0024513E">
        <w:t xml:space="preserve">, </w:t>
      </w:r>
      <w:r w:rsidR="0024513E">
        <w:t xml:space="preserve">qui </w:t>
      </w:r>
      <w:r w:rsidRPr="000039C4">
        <w:t xml:space="preserve">vise à inciter les citoyens africains à exiger et à consommer des aliments sains et adaptés à leur culture, avec le soutien de cadres politiques favorables ; </w:t>
      </w:r>
      <w:r w:rsidR="0024513E">
        <w:t xml:space="preserve">et </w:t>
      </w:r>
      <w:r w:rsidR="00336E17">
        <w:t xml:space="preserve">la </w:t>
      </w:r>
      <w:r w:rsidR="0024513E">
        <w:t xml:space="preserve">campagne « Advancing Crossborder Trade in Agroecological Products/Produce », qui vise à </w:t>
      </w:r>
      <w:r w:rsidRPr="000039C4" w:rsidR="0024513E">
        <w:t xml:space="preserve">supprimer </w:t>
      </w:r>
      <w:r w:rsidRPr="000039C4" w:rsidR="0024513E">
        <w:t xml:space="preserve">les obstacles et à créer des conditions propices au commerce transfrontalier des produits agroécologiques. </w:t>
      </w:r>
      <w:r w:rsidR="0024513E">
        <w:t xml:space="preserve">Le </w:t>
      </w:r>
      <w:r w:rsidRPr="000039C4" w:rsidR="0024513E">
        <w:t xml:space="preserve">volet </w:t>
      </w:r>
      <w:r w:rsidR="0024513E">
        <w:t xml:space="preserve">sur </w:t>
      </w:r>
      <w:r w:rsidR="0024513E">
        <w:t xml:space="preserve">le commerce</w:t>
      </w:r>
      <w:r w:rsidR="00336E17">
        <w:t xml:space="preserve"> transfrontalier </w:t>
      </w:r>
      <w:r w:rsidR="0024513E">
        <w:t xml:space="preserve">a </w:t>
      </w:r>
      <w:r w:rsidRPr="000039C4" w:rsidR="0024513E">
        <w:t xml:space="preserve">été ajouté en 2024 afin de renforcer l'accès au marché et la viabilité économique de l'agriculture agroécologique. </w:t>
      </w:r>
      <w:r w:rsidRPr="00BC1336">
        <w:t xml:space="preserve">Le </w:t>
      </w:r>
      <w:r w:rsidRPr="00BC1336">
        <w:t xml:space="preserve">projet</w:t>
      </w:r>
      <w:r w:rsidR="0024513E">
        <w:t xml:space="preserve"> TAFS </w:t>
      </w:r>
      <w:r w:rsidRPr="00BC1336">
        <w:t xml:space="preserve">est mis en œuvre dans 13 </w:t>
      </w:r>
      <w:r w:rsidRPr="00BC1336">
        <w:t xml:space="preserve">pays africains, le secrétariat de l'AFSA assurant la coordination, le renforcement des capacités, la production de données factuelles et le soutien au plaidoyer. Il s'articule autour de quatre volets interdépendants :</w:t>
      </w:r>
    </w:p>
    <w:p w:rsidRPr="000039C4" w:rsidR="00D95749" w:rsidP="00D95749" w:rsidRDefault="00D95749" w14:paraId="5AA0E054" w14:textId="77777777">
      <w:pPr>
        <w:numPr>
          <w:ilvl w:val="0"/>
          <w:numId w:val="17"/>
        </w:numPr>
      </w:pPr>
      <w:r w:rsidRPr="000039C4">
        <w:t xml:space="preserve">Promouvoir la préférence pour des aliments sains et adaptés à la culture</w:t>
      </w:r>
    </w:p>
    <w:p w:rsidRPr="000039C4" w:rsidR="00D95749" w:rsidP="00D95749" w:rsidRDefault="00D95749" w14:paraId="68CAD18D" w14:textId="77777777">
      <w:pPr>
        <w:numPr>
          <w:ilvl w:val="0"/>
          <w:numId w:val="17"/>
        </w:numPr>
      </w:pPr>
      <w:r w:rsidRPr="000039C4">
        <w:t xml:space="preserve">Renforcement d'un réseau efficace d'acteurs des systèmes alimentaires</w:t>
      </w:r>
    </w:p>
    <w:p w:rsidRPr="000039C4" w:rsidR="00D95749" w:rsidP="00D95749" w:rsidRDefault="00D95749" w14:paraId="47D602A9" w14:textId="77777777">
      <w:pPr>
        <w:numPr>
          <w:ilvl w:val="0"/>
          <w:numId w:val="17"/>
        </w:numPr>
      </w:pPr>
      <w:r w:rsidRPr="000039C4">
        <w:t xml:space="preserve">Faire progresser les réformes politiques et stratégiques en faveur de systèmes alimentaires durables</w:t>
      </w:r>
    </w:p>
    <w:p w:rsidRPr="000039C4" w:rsidR="00D95749" w:rsidP="00D95749" w:rsidRDefault="00D95749" w14:paraId="7830F192" w14:textId="327B3810">
      <w:pPr>
        <w:numPr>
          <w:ilvl w:val="0"/>
          <w:numId w:val="17"/>
        </w:numPr>
      </w:pPr>
      <w:r w:rsidRPr="000039C4">
        <w:t xml:space="preserve">Faciliter le commerce transfrontalier des produits agroécologiques</w:t>
      </w:r>
      <w:r w:rsidR="00BD0D3C">
        <w:rPr>
          <w:lang w:val="en-US"/>
        </w:rPr>
        <w:t xml:space="preserve">. </w:t>
      </w:r>
    </w:p>
    <w:p w:rsidRPr="000039C4" w:rsidR="00D95749" w:rsidP="00D95749" w:rsidRDefault="00D95749" w14:paraId="08B068A0" w14:textId="20A51FB5">
      <w:r w:rsidR="0024513E">
        <w:t xml:space="preserve">Le projet TAFS </w:t>
      </w:r>
      <w:r w:rsidRPr="000039C4">
        <w:t xml:space="preserve">trouve sa</w:t>
      </w:r>
      <w:r w:rsidRPr="000039C4">
        <w:t xml:space="preserve"> justification </w:t>
      </w:r>
      <w:r w:rsidRPr="000039C4">
        <w:t xml:space="preserve">dans le fait que l'agroécologie fournit non seulement des aliments nutritifs, diversifiés et résilients au changement climatique, mais qu'elle est également à la base de systèmes agricoles durables sur le plan environnemental qui profitent aux petits exploitants, aux femmes et aux jeunes.</w:t>
      </w:r>
    </w:p>
    <w:p w:rsidRPr="0075361A" w:rsidR="00C53FEA" w:rsidP="00C53FEA" w:rsidRDefault="00C53FEA" w14:paraId="695B8CB5" w14:textId="7060C0ED">
      <w:pPr>
        <w:rPr>
          <w:lang/>
        </w:rPr>
      </w:pPr>
      <w:r w:rsidRPr="0075361A">
        <w:rPr>
          <w:lang/>
        </w:rPr>
        <w:t xml:space="preserve">La campagne « </w:t>
      </w:r>
      <w:r w:rsidRPr="0075361A">
        <w:rPr>
          <w:i/>
          <w:iCs/>
          <w:lang/>
        </w:rPr>
        <w:t xml:space="preserve">My Food is African </w:t>
      </w:r>
      <w:r w:rsidRPr="0075361A">
        <w:rPr>
          <w:lang/>
        </w:rPr>
        <w:t xml:space="preserve">» (MFIA) est le pilier phare du projet TAFS. </w:t>
      </w:r>
      <w:r w:rsidR="00ED710C">
        <w:rPr>
          <w:lang w:val="en-US"/>
        </w:rPr>
        <w:t xml:space="preserve">Elle repose </w:t>
      </w:r>
      <w:r w:rsidRPr="0075361A">
        <w:rPr>
          <w:lang/>
        </w:rPr>
        <w:t xml:space="preserve">sur la nécessité urgente de soustraire les systèmes alimentaires africains à la domination des importations industrialisées et ultra-transformées et de rétablir la préférence pour des aliments sains, ancrés dans la culture et produits selon les principes de l'agroécologie. Partout en Afrique, l'évolution des habitudes alimentaires </w:t>
      </w:r>
      <w:r w:rsidRPr="0075361A">
        <w:rPr>
          <w:lang/>
        </w:rPr>
        <w:t xml:space="preserve">sous l'effet de l'urbanisation, du marketing agressif des aliments transformés et des politiques commerciales favorables aux importations </w:t>
      </w:r>
      <w:r w:rsidRPr="0075361A">
        <w:rPr>
          <w:lang/>
        </w:rPr>
        <w:t xml:space="preserve">érode la biodiversité, la nutrition et la souveraineté alimentaire. La campagne MFIA s'attaque à cette crise en œuvrant simultanément aux niveaux national et continental pour modifier les habitudes de consommation, influencer les politiques alimentaires et </w:t>
      </w:r>
      <w:r>
        <w:rPr>
          <w:lang w:val="en-US"/>
        </w:rPr>
        <w:t xml:space="preserve">restaurer </w:t>
      </w:r>
      <w:r w:rsidRPr="0075361A">
        <w:rPr>
          <w:lang/>
        </w:rPr>
        <w:t xml:space="preserve">les cultures et les cuisines indigènes.</w:t>
      </w:r>
    </w:p>
    <w:p w:rsidRPr="0075361A" w:rsidR="00C53FEA" w:rsidP="00C53FEA" w:rsidRDefault="00C53FEA" w14:paraId="7831F848" w14:textId="77777777">
      <w:pPr>
        <w:rPr>
          <w:lang/>
        </w:rPr>
      </w:pPr>
      <w:r w:rsidRPr="0075361A">
        <w:rPr>
          <w:lang/>
        </w:rPr>
        <w:t xml:space="preserve">La campagne fonctionne comme une initiative globale de changement des comportements et de plaidoyer politique. À travers des salons alimentaires, des échanges de semences, des clubs scolaires, des sessions de formation et des actions de sensibilisation dans les médias, elle combine la mobilisation publique et l'engagement politique afin de créer des environnements propices aux systèmes alimentaires africains. L'approche est fondée sur des données probantes et participative </w:t>
      </w:r>
      <w:r>
        <w:rPr>
          <w:lang w:val="en-US"/>
        </w:rPr>
        <w:t xml:space="preserve">afin de </w:t>
      </w:r>
      <w:r>
        <w:rPr>
          <w:lang w:val="en-US"/>
        </w:rPr>
        <w:t xml:space="preserve">garantir </w:t>
      </w:r>
      <w:r w:rsidRPr="0075361A">
        <w:rPr>
          <w:lang/>
        </w:rPr>
        <w:t xml:space="preserve">que les stratégies trouvent un écho</w:t>
      </w:r>
      <w:r w:rsidRPr="0075361A">
        <w:rPr>
          <w:lang/>
        </w:rPr>
        <w:lastRenderedPageBreak/>
      </w:r>
      <w:r w:rsidRPr="0075361A">
        <w:rPr>
          <w:lang/>
        </w:rPr>
        <w:t xml:space="preserve"> auprès de publics diversifiés tout en maintenant des liens avec les réalités locales. Intégrant </w:t>
      </w:r>
      <w:r w:rsidRPr="0075361A">
        <w:rPr>
          <w:lang/>
        </w:rPr>
        <w:t xml:space="preserve">l'autonomisation des femmes et des jeunes, </w:t>
      </w:r>
      <w:r>
        <w:rPr>
          <w:lang w:val="en-US"/>
        </w:rPr>
        <w:t xml:space="preserve">la campagne </w:t>
      </w:r>
      <w:r w:rsidRPr="0075361A">
        <w:rPr>
          <w:lang/>
        </w:rPr>
        <w:t xml:space="preserve">positionne les femmes comme gardiennes des semences et des connaissances, et les jeunes comme innovateurs et défenseurs </w:t>
      </w:r>
      <w:r>
        <w:rPr>
          <w:lang w:val="en-US"/>
        </w:rPr>
        <w:t xml:space="preserve">afin d'assurer </w:t>
      </w:r>
      <w:r w:rsidRPr="0075361A">
        <w:rPr>
          <w:lang/>
        </w:rPr>
        <w:t xml:space="preserve">la continuité intergénérationnelle.</w:t>
      </w:r>
    </w:p>
    <w:p w:rsidRPr="000039C4" w:rsidR="00D95749" w:rsidP="00D95749" w:rsidRDefault="00D95749" w14:paraId="72AA7BE4" w14:textId="77777777">
      <w:r w:rsidRPr="000039C4">
        <w:t xml:space="preserve">L'étude de référence (2024) pour la TAFS a souligné que si les pratiques agroécologiques gagnent du terrain dans la région, les liens avec les marchés restent faibles, en particulier au-delà des frontières. Le commerce transfrontalier informel représente 20 à 40 % du commerce formel dans la CAE, principalement grâce aux petits producteurs et commerçants, mais il est entravé par des réglementations incohérentes, des coûts de transaction élevés, des infrastructures limitées et l'absence de normes harmonisées. Les femmes dominent une grande partie de ce commerce informel, mais elles sont confrontées à des difficultés importantes pour accéder au financement, à des espaces commerciaux sûrs et à un soutien politique. Les jeunes, bien qu'innovants, sont freinés par des capitaux et des réseaux commerciaux limités.</w:t>
      </w:r>
    </w:p>
    <w:p w:rsidR="00D95749" w:rsidP="00D95749" w:rsidRDefault="00D95749" w14:paraId="115FDBC2" w14:textId="1CE22251">
      <w:r w:rsidRPr="000039C4">
        <w:t xml:space="preserve">Dans le cadre du TAFS, cette </w:t>
      </w:r>
      <w:r w:rsidR="006353E7">
        <w:t xml:space="preserve">composante </w:t>
      </w:r>
      <w:r w:rsidRPr="000039C4">
        <w:t xml:space="preserve">relative au commerce transfrontalier est donc considérée à la fois comme une intervention sur les systèmes de marché et une opportunité de plaidoyer politique. Elle vise à renforcer les données et les informations factuelles sur le paysage du commerce agroécologique, à améliorer la coordination entre les parties prenantes et à catalyser les réformes politiques aux niveaux national, régional et continental. Ce faisant, elle soutient directement la souveraineté alimentaire, l'autonomisation économique et la résilience climatique dans la région.</w:t>
      </w:r>
    </w:p>
    <w:p w:rsidRPr="005C6D3A" w:rsidR="0052418C" w:rsidP="00071A9B" w:rsidRDefault="00F755B6" w14:paraId="24C2F7D3" w14:textId="041D818E">
      <w:pPr>
        <w:spacing w:after="0"/>
      </w:pPr>
      <w:r w:rsidRPr="009C7FA9">
        <w:rPr>
          <w:b/>
          <w:bCs/>
        </w:rPr>
        <w:t xml:space="preserve">Progrès de la campagne MFIA </w:t>
      </w:r>
      <w:r w:rsidR="00071A9B">
        <w:rPr>
          <w:b/>
          <w:bCs/>
        </w:rPr>
        <w:t xml:space="preserve">: </w:t>
      </w:r>
      <w:r w:rsidRPr="005C6D3A" w:rsidR="0052418C">
        <w:t xml:space="preserve">Depuis </w:t>
      </w:r>
      <w:r w:rsidR="0052418C">
        <w:rPr>
          <w:lang w:val="en-US"/>
        </w:rPr>
        <w:t xml:space="preserve">le </w:t>
      </w:r>
      <w:r w:rsidRPr="005C6D3A" w:rsidR="0052418C">
        <w:t xml:space="preserve">lancement </w:t>
      </w:r>
      <w:r w:rsidR="0052418C">
        <w:rPr>
          <w:lang w:val="en-US"/>
        </w:rPr>
        <w:t xml:space="preserve">de la </w:t>
      </w:r>
      <w:r w:rsidRPr="005C6D3A" w:rsidR="0052418C">
        <w:t xml:space="preserve">campagne </w:t>
      </w:r>
      <w:r w:rsidRPr="005C6D3A" w:rsidR="0052418C">
        <w:rPr>
          <w:i/>
          <w:iCs/>
        </w:rPr>
        <w:t xml:space="preserve">« My Food is African » </w:t>
      </w:r>
      <w:r w:rsidRPr="005C6D3A" w:rsidR="0052418C">
        <w:t xml:space="preserve">au début de l'année 2024, plus de 250 000 personnes ont été touchées directement et plus de 4 millions indirectement grâce à des activités telles que des foires alimentaires, des échanges de semences, des clubs alimentaires dans les écoles, des dialogues politiques, des programmes de formation et des campagnes médiatiques. </w:t>
      </w:r>
      <w:r w:rsidRPr="005C6D3A" w:rsidR="0052418C">
        <w:t xml:space="preserve">Une influence politique</w:t>
      </w:r>
      <w:r w:rsidRPr="00BC603B" w:rsidR="0052418C">
        <w:t xml:space="preserve"> considérable </w:t>
      </w:r>
      <w:r w:rsidRPr="005C6D3A" w:rsidR="0052418C">
        <w:t xml:space="preserve">a été enregistrée, notamment la finalisation de la stratégie nationale d'agroécologie de l'Ouganda, l'adoption au niveau national de </w:t>
      </w:r>
      <w:r w:rsidRPr="005C6D3A" w:rsidR="0052418C">
        <w:t xml:space="preserve">la campagne</w:t>
      </w:r>
      <w:r w:rsidRPr="005C6D3A" w:rsidR="0052418C">
        <w:rPr>
          <w:i/>
          <w:iCs/>
        </w:rPr>
        <w:t xml:space="preserve"> « Je Mange Africain </w:t>
      </w:r>
      <w:r w:rsidRPr="005C6D3A" w:rsidR="0052418C">
        <w:t xml:space="preserve">» </w:t>
      </w:r>
      <w:r w:rsidRPr="005C6D3A" w:rsidR="0052418C">
        <w:t xml:space="preserve">au Sénégal </w:t>
      </w:r>
      <w:r w:rsidRPr="005C6D3A" w:rsidR="0052418C">
        <w:t xml:space="preserve">et des propositions législatives au Zimbabwe et en République démocratique du Congo visant à renforcer les systèmes de semences gérés par les agriculteurs.</w:t>
      </w:r>
    </w:p>
    <w:p w:rsidRPr="005C6D3A" w:rsidR="0052418C" w:rsidP="0052418C" w:rsidRDefault="0052418C" w14:paraId="66AA2F71" w14:textId="2981CE74">
      <w:r w:rsidRPr="005C6D3A">
        <w:t xml:space="preserve">Le projet a également renforcé les réseaux d'acteurs des systèmes alimentaires dans des pays tels que le Cameroun, le Nigeria, l'Éthiopie et le Ghana, améliorant ainsi leur capacité à influencer les processus politiques nationaux et continentaux, notamment en collaborant avec les communautés économiques régionales et l'Union africaine. L'inclusion des femmes et des jeunes est au cœur de la mise en œuvre, les femmes représentant plus de 50 % des bénéficiaires directs et bénéficiant d'un mentorat, d'une budgétisation sensible au genre et d'une formation au leadership, tandis que les jeunes ont été associés à travers des sommets nationaux, des clubs scolaires et des actions de sensibilisation numérique. Des visites de suivi et des exercices de récolte des résultats ont confirmé des changements de comportement au niveau communautaire, un soutien accru des politiques en faveur des aliments indigènes et l'intégration de l'agroécologie dans les systèmes éducatifs. Parmi les défis persistants figurent la résistance des entreprises, la faible application des politiques favorables et les allocations budgétaires nationales limitées en faveur de l'agroécologie. </w:t>
      </w:r>
    </w:p>
    <w:p w:rsidRPr="005C6D3A" w:rsidR="0052418C" w:rsidP="00071A9B" w:rsidRDefault="009C7FA9" w14:paraId="29EB016E" w14:textId="17BF25A8">
      <w:pPr>
        <w:spacing w:after="0"/>
      </w:pPr>
      <w:r w:rsidRPr="009C7FA9">
        <w:rPr>
          <w:b/>
          <w:bCs/>
        </w:rPr>
        <w:t xml:space="preserve">Progrès en matière de commerce transfrontalier </w:t>
      </w:r>
      <w:r w:rsidR="00071A9B">
        <w:rPr>
          <w:b/>
          <w:bCs/>
        </w:rPr>
        <w:t xml:space="preserve">: </w:t>
      </w:r>
      <w:r w:rsidRPr="005C6D3A" w:rsidR="0052418C">
        <w:t xml:space="preserve">Le volet « commerce transfrontalier », introduit en 2024 en tant que quatrième pilier du projet, a également fait des progrès au cours de sa première année. Axé sur le renforcement du commerce des aliments nutritifs issus de l'agroécologie au sein de la Communauté de l'Afrique de l'Est (CAE), il vise à promouvoir l'agriculture durable et à améliorer la sécurité alimentaire régionale. Une étude approfondie sur le commerce transfrontalier a été réalisée, qui cartographie les flux commerciaux, les principales parties prenantes, les dynamiques de genre et les cadres politiques pertinents, y compris les protocoles de la CAE et la Zone de libre-échange continentale africaine (ZLECA). Les conclusions ont servi de base à des stratégies ciblées de plaidoyer, de renforcement des capacités et d'engagement des parties prenantes. Parmi les principales réalisations, citons la mise en place d'une plateforme multipartite réunissant des agriculteurs, des commerçants, des décideurs politiques et des OSC ; l'engagement initial des responsables nationaux et de l'EAC ; et le lancement d'un dialogue sur </w:t>
      </w:r>
      <w:r w:rsidR="0052418C">
        <w:t xml:space="preserve">l'harmonisation </w:t>
      </w:r>
      <w:r w:rsidRPr="005C6D3A" w:rsidR="0052418C">
        <w:t xml:space="preserve">des normes et des réglementations afin de réduire les obstacles au commerce.</w:t>
      </w:r>
    </w:p>
    <w:p w:rsidRPr="005C6D3A" w:rsidR="0052418C" w:rsidP="0052418C" w:rsidRDefault="0052418C" w14:paraId="37A2AAB5" w14:textId="77777777">
      <w:r w:rsidRPr="005C6D3A">
        <w:t xml:space="preserve">Des visites sur le terrain dans les marchés territoriaux et les comptoirs commerciaux ont permis d'obtenir des informations de première main sur les réalités opérationnelles, de mettre en évidence le rôle des femmes et des jeunes dans le commerce transfrontalier informel et d'identifier les lacunes politiques qui entravent la croissance. Des préparatifs sont en cours pour lancer un centre de connaissances numérique sur </w:t>
      </w:r>
      <w:r w:rsidRPr="005C6D3A">
        <w:t xml:space="preserve">le commerce agroécologique de l'</w:t>
      </w:r>
      <w:r w:rsidRPr="005C6D3A">
        <w:lastRenderedPageBreak/>
      </w:r>
      <w:r w:rsidRPr="005C6D3A">
        <w:t xml:space="preserve"> , compiler des exemples de réussite et mener des campagnes d'information ciblées. </w:t>
      </w:r>
      <w:r>
        <w:rPr>
          <w:lang w:val="en-US"/>
        </w:rPr>
        <w:t xml:space="preserve">Les </w:t>
      </w:r>
      <w:r w:rsidRPr="005C6D3A">
        <w:t xml:space="preserve">premiers résultats </w:t>
      </w:r>
      <w:r>
        <w:t xml:space="preserve">jettent </w:t>
      </w:r>
      <w:r w:rsidRPr="005C6D3A">
        <w:t xml:space="preserve">des bases solides pour l'efficacité, l'accès au marché et le soutien politique aux produits agroécologiques.</w:t>
      </w:r>
    </w:p>
    <w:p w:rsidRPr="00903443" w:rsidR="002B1302" w:rsidP="006C2D68" w:rsidRDefault="00B51CCB" w14:paraId="3914DC83" w14:textId="2E8D95F7">
      <w:pPr>
        <w:pStyle w:val="ListParagraph"/>
        <w:numPr>
          <w:ilvl w:val="0"/>
          <w:numId w:val="14"/>
        </w:numPr>
        <w:rPr>
          <w:b/>
          <w:bCs/>
          <w:color w:val="4472C4" w:themeColor="accent1"/>
        </w:rPr>
      </w:pPr>
      <w:r w:rsidRPr="00903443">
        <w:rPr>
          <w:b/>
          <w:bCs/>
          <w:color w:val="4472C4" w:themeColor="accent1"/>
        </w:rPr>
        <w:t xml:space="preserve">Objectif général</w:t>
      </w:r>
      <w:r w:rsidRPr="00903443" w:rsidR="002B1302">
        <w:rPr>
          <w:b/>
          <w:bCs/>
          <w:color w:val="4472C4" w:themeColor="accent1"/>
        </w:rPr>
        <w:t xml:space="preserve">/but de l'évaluation</w:t>
      </w:r>
    </w:p>
    <w:p w:rsidRPr="002B1302" w:rsidR="002B1302" w:rsidP="002B1302" w:rsidRDefault="002B1302" w14:paraId="705C5A3D" w14:textId="1ABE2CFC">
      <w:r w:rsidRPr="002B1302">
        <w:t xml:space="preserve">Évaluer les progrès à mi-parcours pour les quatre résultats du TAFS, valider les réalisations déclarées et formuler des recommandations concrètes pour renforcer la mise en œuvre pendant la période restante.</w:t>
      </w:r>
    </w:p>
    <w:p w:rsidRPr="00903443" w:rsidR="002B1302" w:rsidP="006C2D68" w:rsidRDefault="00342509" w14:paraId="47672BA2" w14:textId="6E34DCD4">
      <w:pPr>
        <w:pStyle w:val="ListParagraph"/>
        <w:numPr>
          <w:ilvl w:val="0"/>
          <w:numId w:val="14"/>
        </w:numPr>
        <w:rPr>
          <w:b/>
          <w:bCs/>
          <w:color w:val="4472C4" w:themeColor="accent1"/>
        </w:rPr>
      </w:pPr>
      <w:r w:rsidRPr="00903443" w:rsidR="002B1302">
        <w:rPr>
          <w:b/>
          <w:bCs/>
          <w:color w:val="4472C4" w:themeColor="accent1"/>
        </w:rPr>
        <w:t xml:space="preserve">Objectifs</w:t>
      </w:r>
      <w:r w:rsidRPr="00903443">
        <w:rPr>
          <w:b/>
          <w:bCs/>
          <w:color w:val="4472C4" w:themeColor="accent1"/>
        </w:rPr>
        <w:t xml:space="preserve"> spécifiques </w:t>
      </w:r>
      <w:r w:rsidRPr="00903443" w:rsidR="002B1302">
        <w:rPr>
          <w:b/>
          <w:bCs/>
          <w:color w:val="4472C4" w:themeColor="accent1"/>
        </w:rPr>
        <w:t xml:space="preserve">de l'évaluation</w:t>
      </w:r>
    </w:p>
    <w:p w:rsidRPr="002B1302" w:rsidR="002B1302" w:rsidP="002B1302" w:rsidRDefault="002B1302" w14:paraId="4C1AC457" w14:textId="1149B5BB">
      <w:pPr>
        <w:numPr>
          <w:ilvl w:val="0"/>
          <w:numId w:val="2"/>
        </w:numPr>
      </w:pPr>
      <w:r w:rsidRPr="002B1302">
        <w:t xml:space="preserve">Évaluer les progrès accomplis dans la réalisation des résultats du TAFS dans</w:t>
      </w:r>
      <w:r w:rsidR="00B05819">
        <w:t xml:space="preserve"> 13 </w:t>
      </w:r>
      <w:r w:rsidRPr="002B1302">
        <w:t xml:space="preserve">pays et </w:t>
      </w:r>
      <w:r w:rsidR="00B05819">
        <w:t xml:space="preserve">au </w:t>
      </w:r>
      <w:r w:rsidR="00D74B2C">
        <w:t xml:space="preserve">niveau régional</w:t>
      </w:r>
      <w:r w:rsidRPr="002B1302">
        <w:t xml:space="preserve">.</w:t>
      </w:r>
    </w:p>
    <w:p w:rsidRPr="002B1302" w:rsidR="002B1302" w:rsidP="002B1302" w:rsidRDefault="002B1302" w14:paraId="39EB1EB7" w14:textId="77777777">
      <w:pPr>
        <w:numPr>
          <w:ilvl w:val="0"/>
          <w:numId w:val="2"/>
        </w:numPr>
      </w:pPr>
      <w:r w:rsidRPr="002B1302">
        <w:t xml:space="preserve">Vérifier les réalisations et les innovations déclarées à l'aide de multiples sources de données.</w:t>
      </w:r>
    </w:p>
    <w:p w:rsidRPr="002B1302" w:rsidR="002B1302" w:rsidP="002B1302" w:rsidRDefault="002B1302" w14:paraId="0C06158B" w14:textId="77777777">
      <w:pPr>
        <w:numPr>
          <w:ilvl w:val="0"/>
          <w:numId w:val="2"/>
        </w:numPr>
      </w:pPr>
      <w:r w:rsidRPr="002B1302">
        <w:t xml:space="preserve">Identifier les défis, les pratiques innovantes et les thèmes transversaux afin d'orienter les ajustements nécessaires.</w:t>
      </w:r>
    </w:p>
    <w:p w:rsidRPr="002B1302" w:rsidR="002B1302" w:rsidP="002B1302" w:rsidRDefault="002B1302" w14:paraId="60753EC6" w14:textId="77777777">
      <w:pPr>
        <w:numPr>
          <w:ilvl w:val="0"/>
          <w:numId w:val="2"/>
        </w:numPr>
      </w:pPr>
      <w:r w:rsidRPr="002B1302">
        <w:t xml:space="preserve">Définir les priorités et les recommandations pour la seconde moitié du projet.</w:t>
      </w:r>
    </w:p>
    <w:p w:rsidRPr="00903443" w:rsidR="002B1302" w:rsidP="006C2D68" w:rsidRDefault="002B1302" w14:paraId="7FEBC15B" w14:textId="70FD33ED">
      <w:pPr>
        <w:pStyle w:val="ListParagraph"/>
        <w:numPr>
          <w:ilvl w:val="0"/>
          <w:numId w:val="14"/>
        </w:numPr>
        <w:rPr>
          <w:b/>
          <w:bCs/>
          <w:color w:val="4472C4" w:themeColor="accent1"/>
        </w:rPr>
      </w:pPr>
      <w:r w:rsidRPr="00903443">
        <w:rPr>
          <w:b/>
          <w:bCs/>
          <w:color w:val="4472C4" w:themeColor="accent1"/>
        </w:rPr>
        <w:t xml:space="preserve">Portée de l'évaluation</w:t>
      </w:r>
    </w:p>
    <w:p w:rsidRPr="002B1302" w:rsidR="002B1302" w:rsidP="002B1302" w:rsidRDefault="00B05819" w14:paraId="1265CD74" w14:textId="26385BB3">
      <w:r>
        <w:t xml:space="preserve">Pour le volet « Campagne MFIA », </w:t>
      </w:r>
      <w:r w:rsidRPr="002B1302" w:rsidR="002B1302">
        <w:t xml:space="preserve">l'évaluation </w:t>
      </w:r>
      <w:r w:rsidR="00A60713">
        <w:rPr>
          <w:lang w:val="en-US"/>
        </w:rPr>
        <w:t xml:space="preserve">portera sur </w:t>
      </w:r>
      <w:r w:rsidR="00C744FC">
        <w:rPr>
          <w:lang w:val="en-US"/>
        </w:rPr>
        <w:t xml:space="preserve">cinq </w:t>
      </w:r>
      <w:r w:rsidR="005A60F9">
        <w:rPr>
          <w:lang w:val="en-US"/>
        </w:rPr>
        <w:t xml:space="preserve">des</w:t>
      </w:r>
      <w:r>
        <w:t xml:space="preserve"> 13</w:t>
      </w:r>
      <w:r w:rsidR="005A60F9">
        <w:rPr>
          <w:lang w:val="en-US"/>
        </w:rPr>
        <w:t xml:space="preserve"> </w:t>
      </w:r>
      <w:r w:rsidRPr="002B1302" w:rsidR="002B1302">
        <w:t xml:space="preserve">pays participants et </w:t>
      </w:r>
      <w:r w:rsidR="00A60713">
        <w:rPr>
          <w:lang w:val="en-US"/>
        </w:rPr>
        <w:t xml:space="preserve">sur </w:t>
      </w:r>
      <w:r w:rsidRPr="002B1302" w:rsidR="002B1302">
        <w:t xml:space="preserve">des activités menées au niveau régional, en mettant </w:t>
      </w:r>
      <w:r>
        <w:t xml:space="preserve">l'accent sur l'influence des politiques, la sensibilisation et la consommation d'aliments africains</w:t>
      </w:r>
      <w:r w:rsidRPr="002B1302" w:rsidR="002B1302">
        <w:t xml:space="preserve">. </w:t>
      </w:r>
      <w:r w:rsidRPr="002B1302" w:rsidR="002B1302">
        <w:t xml:space="preserve">Pour </w:t>
      </w:r>
      <w:r>
        <w:t xml:space="preserve">le volet « </w:t>
      </w:r>
      <w:r w:rsidRPr="002B1302" w:rsidR="002B1302">
        <w:t xml:space="preserve">commerce transfrontalier », </w:t>
      </w:r>
      <w:r>
        <w:t xml:space="preserve">la mission consistera à recueillir </w:t>
      </w:r>
      <w:r w:rsidRPr="002B1302" w:rsidR="002B1302">
        <w:t xml:space="preserve">des études de cas </w:t>
      </w:r>
      <w:r>
        <w:t xml:space="preserve">au </w:t>
      </w:r>
      <w:r w:rsidRPr="002B1302" w:rsidR="002B1302">
        <w:t xml:space="preserve">Kenya, au Rwanda, en Tanzanie et </w:t>
      </w:r>
      <w:r>
        <w:t xml:space="preserve">en </w:t>
      </w:r>
      <w:r w:rsidRPr="002B1302" w:rsidR="002B1302">
        <w:t xml:space="preserve">Ouganda </w:t>
      </w:r>
      <w:r w:rsidR="00F755B6">
        <w:t xml:space="preserve">sur les conditions favorables, l'accès aux marchés, les obstacles au commerce et les opportunités</w:t>
      </w:r>
      <w:r w:rsidRPr="002B1302" w:rsidR="002B1302">
        <w:t xml:space="preserve">.</w:t>
      </w:r>
    </w:p>
    <w:p w:rsidRPr="00903443" w:rsidR="002B1302" w:rsidP="006C2D68" w:rsidRDefault="002B1302" w14:paraId="7812A51B" w14:textId="51032928">
      <w:pPr>
        <w:pStyle w:val="ListParagraph"/>
        <w:numPr>
          <w:ilvl w:val="0"/>
          <w:numId w:val="14"/>
        </w:numPr>
        <w:rPr>
          <w:b/>
          <w:bCs/>
          <w:color w:val="4472C4" w:themeColor="accent1"/>
        </w:rPr>
      </w:pPr>
      <w:r w:rsidRPr="00903443">
        <w:rPr>
          <w:b/>
          <w:bCs/>
          <w:color w:val="4472C4" w:themeColor="accent1"/>
        </w:rPr>
        <w:t xml:space="preserve">Questions clés de l'évaluation</w:t>
      </w:r>
    </w:p>
    <w:p w:rsidR="000065EF" w:rsidP="000C2B38" w:rsidRDefault="002B1302" w14:paraId="53330E15" w14:textId="77777777">
      <w:pPr>
        <w:spacing w:line="360" w:lineRule="auto"/>
        <w:rPr>
          <w:b/>
          <w:bCs/>
          <w:color w:val="4472C4" w:themeColor="accent1"/>
        </w:rPr>
      </w:pPr>
      <w:r w:rsidRPr="00C009DD">
        <w:t xml:space="preserve">Pertinence : dans quelle mesure les stratégies du projet répondent-elles aux besoins des parties prenantes et comblent-elles les lacunes politiques ?</w:t>
      </w:r>
      <w:r w:rsidRPr="00C009DD">
        <w:br/>
      </w:r>
      <w:r w:rsidRPr="00C009DD">
        <w:t xml:space="preserve">Efficacité : quels progrès ont été réalisés vers les résultats escomptés ?</w:t>
      </w:r>
      <w:r w:rsidRPr="00C009DD">
        <w:br/>
      </w:r>
      <w:r w:rsidRPr="00C009DD">
        <w:t xml:space="preserve">Efficience : dans quelle mesure les ressources ont-elles été utilisées pour obtenir des résultats ?</w:t>
      </w:r>
      <w:r w:rsidRPr="00C009DD">
        <w:br/>
      </w:r>
      <w:r w:rsidRPr="00C009DD">
        <w:t xml:space="preserve">Impact : Quels changements observables se sont produits aux niveaux institutionnel et politique ?</w:t>
      </w:r>
      <w:r w:rsidRPr="00C009DD">
        <w:br/>
      </w:r>
      <w:r w:rsidRPr="00C009DD">
        <w:t xml:space="preserve">Durabilité : dans quelle mesure les résultats sont-ils susceptibles d'être maintenus au-delà de la période du projet ?</w:t>
      </w:r>
      <w:r w:rsidRPr="00C009DD">
        <w:br/>
      </w:r>
    </w:p>
    <w:p w:rsidRPr="00903443" w:rsidR="002B1302" w:rsidP="000065EF" w:rsidRDefault="002B1302" w14:paraId="1C3BDDE2" w14:textId="4E3B4781">
      <w:pPr>
        <w:pStyle w:val="ListParagraph"/>
        <w:numPr>
          <w:ilvl w:val="0"/>
          <w:numId w:val="14"/>
        </w:numPr>
        <w:rPr>
          <w:b/>
          <w:bCs/>
          <w:color w:val="4472C4" w:themeColor="accent1"/>
        </w:rPr>
      </w:pPr>
      <w:r w:rsidRPr="00903443">
        <w:rPr>
          <w:b/>
          <w:bCs/>
          <w:color w:val="4472C4" w:themeColor="accent1"/>
        </w:rPr>
        <w:t xml:space="preserve">Méthodologie</w:t>
      </w:r>
    </w:p>
    <w:p w:rsidRPr="002B1302" w:rsidR="002B1302" w:rsidP="002B1302" w:rsidRDefault="002B1302" w14:paraId="3FBBE6A4" w14:textId="77777777">
      <w:r w:rsidRPr="002B1302">
        <w:t xml:space="preserve">L'évaluation adoptera une approche participative et fondée sur des données probantes, conforme à la méthode de récolte des résultats. Le processus comprendra :</w:t>
      </w:r>
    </w:p>
    <w:p w:rsidRPr="00445590" w:rsidR="00445590" w:rsidP="00445590" w:rsidRDefault="00F54979" w14:paraId="1CDF1507" w14:textId="4C00FC06">
      <w:pPr>
        <w:numPr>
          <w:ilvl w:val="0"/>
          <w:numId w:val="4"/>
        </w:numPr>
      </w:pPr>
      <w:r w:rsidRPr="00445590">
        <w:t xml:space="preserve">Réunion de lancement : </w:t>
      </w:r>
      <w:r>
        <w:t xml:space="preserve">convenir des objectifs, de la portée, de la méthodologie, des outils et du plan de travail, clarifier les attentes, confirmer la logistique et harmoniser le processus d'évaluation</w:t>
      </w:r>
    </w:p>
    <w:p w:rsidRPr="002B1302" w:rsidR="002B1302" w:rsidP="00445590" w:rsidRDefault="002B1302" w14:paraId="63670779" w14:textId="2AE135F0">
      <w:pPr>
        <w:numPr>
          <w:ilvl w:val="0"/>
          <w:numId w:val="4"/>
        </w:numPr>
      </w:pPr>
      <w:r w:rsidRPr="002B1302">
        <w:t xml:space="preserve">Élaboration de la méthodologie </w:t>
      </w:r>
      <w:r w:rsidRPr="00445590" w:rsidR="00D54D06">
        <w:t xml:space="preserve">: </w:t>
      </w:r>
      <w:r w:rsidRPr="002B1302">
        <w:t xml:space="preserve">examen de la littérature/du MoV ; élaboration des outils.</w:t>
      </w:r>
    </w:p>
    <w:p w:rsidRPr="002B1302" w:rsidR="002B1302" w:rsidP="002B1302" w:rsidRDefault="002B1302" w14:paraId="02969124" w14:textId="4285C225">
      <w:pPr>
        <w:numPr>
          <w:ilvl w:val="0"/>
          <w:numId w:val="4"/>
        </w:numPr>
      </w:pPr>
      <w:r w:rsidRPr="002B1302">
        <w:t xml:space="preserve">Collecte de données sur le terrain </w:t>
      </w:r>
      <w:r w:rsidRPr="00445590" w:rsidR="00D54D06">
        <w:t xml:space="preserve">: </w:t>
      </w:r>
      <w:r w:rsidRPr="002B1302">
        <w:t xml:space="preserve">visites dans </w:t>
      </w:r>
      <w:r w:rsidR="00B05819">
        <w:t xml:space="preserve">les </w:t>
      </w:r>
      <w:r w:rsidRPr="002B1302">
        <w:t xml:space="preserve">pays </w:t>
      </w:r>
      <w:r w:rsidR="00B40FE9">
        <w:t xml:space="preserve">sélectionnés </w:t>
      </w:r>
      <w:r w:rsidRPr="002B1302">
        <w:t xml:space="preserve">; études de cas ; entretiens avec les parties prenantes ; groupes de discussion ; observations aux frontières/postes frontaliers.</w:t>
      </w:r>
    </w:p>
    <w:p w:rsidRPr="002B1302" w:rsidR="002B1302" w:rsidP="002B1302" w:rsidRDefault="002B1302" w14:paraId="654ABFEF" w14:textId="64C164CE">
      <w:pPr>
        <w:numPr>
          <w:ilvl w:val="0"/>
          <w:numId w:val="4"/>
        </w:numPr>
      </w:pPr>
      <w:r w:rsidRPr="002B1302">
        <w:t xml:space="preserve">Atelier de validation après le terrain </w:t>
      </w:r>
      <w:r w:rsidRPr="00445590" w:rsidR="00D54D06">
        <w:t xml:space="preserve">: </w:t>
      </w:r>
      <w:r w:rsidRPr="002B1302">
        <w:t xml:space="preserve">présentation des conclusions préliminaires aux partenaires, à la direction de l'AFSA et aux parties prenantes concernées.</w:t>
      </w:r>
    </w:p>
    <w:p w:rsidRPr="002B1302" w:rsidR="002B1302" w:rsidP="002B1302" w:rsidRDefault="002B1302" w14:paraId="7FB213F5" w14:textId="3FA2121E">
      <w:pPr>
        <w:numPr>
          <w:ilvl w:val="0"/>
          <w:numId w:val="4"/>
        </w:numPr>
      </w:pPr>
      <w:r w:rsidRPr="002B1302">
        <w:lastRenderedPageBreak/>
      </w:r>
      <w:r w:rsidRPr="002B1302">
        <w:t xml:space="preserve">Rapport final </w:t>
      </w:r>
      <w:r w:rsidRPr="00387500" w:rsidR="00D54D06">
        <w:rPr>
          <w:lang w:val="en-US"/>
        </w:rPr>
        <w:t xml:space="preserve">: </w:t>
      </w:r>
      <w:r w:rsidRPr="002B1302">
        <w:t xml:space="preserve">vérification des résultats par rapport aux indicateurs de référence ; évaluation de l'alignement sur les objectifs du projet ; enseignements tirés et recommandations.</w:t>
      </w:r>
    </w:p>
    <w:p w:rsidRPr="002B1302" w:rsidR="002B1302" w:rsidP="002B1302" w:rsidRDefault="002B1302" w14:paraId="6DB49091" w14:textId="67CBDB23">
      <w:pPr>
        <w:numPr>
          <w:ilvl w:val="0"/>
          <w:numId w:val="4"/>
        </w:numPr>
      </w:pPr>
      <w:r w:rsidRPr="002B1302">
        <w:t xml:space="preserve">Diffusion </w:t>
      </w:r>
      <w:r w:rsidRPr="00387500" w:rsidR="00D54D06">
        <w:rPr>
          <w:lang w:val="en-US"/>
        </w:rPr>
        <w:t xml:space="preserve">: </w:t>
      </w:r>
      <w:r w:rsidRPr="002B1302">
        <w:t xml:space="preserve">partage des conclusions avec les parties prenantes et les bailleurs de fonds.</w:t>
      </w:r>
    </w:p>
    <w:p w:rsidRPr="00903443" w:rsidR="002B1302" w:rsidP="006C2D68" w:rsidRDefault="002B1302" w14:paraId="7DF07D54" w14:textId="6CE48C52">
      <w:pPr>
        <w:pStyle w:val="ListParagraph"/>
        <w:numPr>
          <w:ilvl w:val="0"/>
          <w:numId w:val="14"/>
        </w:numPr>
        <w:rPr>
          <w:b/>
          <w:bCs/>
          <w:color w:val="4472C4" w:themeColor="accent1"/>
        </w:rPr>
      </w:pPr>
      <w:r w:rsidRPr="00903443">
        <w:rPr>
          <w:b/>
          <w:bCs/>
          <w:color w:val="4472C4" w:themeColor="accent1"/>
        </w:rPr>
        <w:t xml:space="preserve">Rôles et responsabilités</w:t>
      </w:r>
    </w:p>
    <w:p w:rsidRPr="002B1302" w:rsidR="002B1302" w:rsidP="002B1302" w:rsidRDefault="002B1302" w14:paraId="0E04FF7F" w14:textId="779CDEEE">
      <w:pPr>
        <w:numPr>
          <w:ilvl w:val="0"/>
          <w:numId w:val="5"/>
        </w:numPr>
      </w:pPr>
      <w:r w:rsidRPr="002B1302">
        <w:rPr>
          <w:b/>
          <w:bCs/>
        </w:rPr>
        <w:t xml:space="preserve">Consultant/équipe d'évaluation : </w:t>
      </w:r>
      <w:r w:rsidRPr="002B1302">
        <w:t xml:space="preserve">diriger l'évaluation, concevoir la méthodologie, collecter/analyser les données </w:t>
      </w:r>
      <w:r w:rsidR="00214F7B">
        <w:t xml:space="preserve">et </w:t>
      </w:r>
      <w:r w:rsidRPr="002B1302">
        <w:t xml:space="preserve">produire les livrables.</w:t>
      </w:r>
    </w:p>
    <w:p w:rsidRPr="002B1302" w:rsidR="002B1302" w:rsidP="002B1302" w:rsidRDefault="002B1302" w14:paraId="70CA67E7" w14:textId="77777777">
      <w:pPr>
        <w:numPr>
          <w:ilvl w:val="0"/>
          <w:numId w:val="5"/>
        </w:numPr>
      </w:pPr>
      <w:r w:rsidRPr="002B1302">
        <w:rPr>
          <w:b/>
          <w:bCs/>
        </w:rPr>
        <w:t xml:space="preserve">Secrétariat de l'AFSA : </w:t>
      </w:r>
      <w:r w:rsidRPr="002B1302">
        <w:t xml:space="preserve">fournir les documents, faciliter l'accès aux parties prenantes, coordonner la logistique, examiner les projets.</w:t>
      </w:r>
    </w:p>
    <w:p w:rsidRPr="00903443" w:rsidR="002B1302" w:rsidP="006C2D68" w:rsidRDefault="002B1302" w14:paraId="5ED109BC" w14:textId="34336C5F">
      <w:pPr>
        <w:pStyle w:val="ListParagraph"/>
        <w:numPr>
          <w:ilvl w:val="0"/>
          <w:numId w:val="14"/>
        </w:numPr>
        <w:rPr>
          <w:b/>
          <w:bCs/>
          <w:color w:val="4472C4" w:themeColor="accent1"/>
        </w:rPr>
      </w:pPr>
      <w:r w:rsidRPr="00903443">
        <w:rPr>
          <w:b/>
          <w:bCs/>
          <w:color w:val="4472C4" w:themeColor="accent1"/>
        </w:rPr>
        <w:t xml:space="preserve">Livrables</w:t>
      </w:r>
    </w:p>
    <w:p w:rsidRPr="002B1302" w:rsidR="002B1302" w:rsidP="002B1302" w:rsidRDefault="002B1302" w14:paraId="146F558E" w14:textId="77777777">
      <w:pPr>
        <w:numPr>
          <w:ilvl w:val="0"/>
          <w:numId w:val="6"/>
        </w:numPr>
      </w:pPr>
      <w:r w:rsidRPr="002B1302">
        <w:t xml:space="preserve">Rapport initial avec plan de travail et méthodologie.</w:t>
      </w:r>
    </w:p>
    <w:p w:rsidRPr="002B1302" w:rsidR="002B1302" w:rsidP="002B1302" w:rsidRDefault="002B1302" w14:paraId="0E31DD6A" w14:textId="77777777">
      <w:pPr>
        <w:numPr>
          <w:ilvl w:val="0"/>
          <w:numId w:val="6"/>
        </w:numPr>
      </w:pPr>
      <w:r w:rsidRPr="002B1302">
        <w:t xml:space="preserve">Outils de collecte de données.</w:t>
      </w:r>
    </w:p>
    <w:p w:rsidR="002B1302" w:rsidP="002B1302" w:rsidRDefault="002B1302" w14:paraId="2A07E128" w14:textId="4FD4A26E">
      <w:pPr>
        <w:numPr>
          <w:ilvl w:val="0"/>
          <w:numId w:val="6"/>
        </w:numPr>
      </w:pPr>
      <w:r w:rsidRPr="002B1302">
        <w:t xml:space="preserve">Ensembles de données brutes</w:t>
      </w:r>
      <w:r w:rsidR="00EF76CB">
        <w:t xml:space="preserve">, </w:t>
      </w:r>
      <w:r w:rsidRPr="00C62424" w:rsidR="00EF76CB">
        <w:t xml:space="preserve">permettant une analyse indépendante si nécessaire.</w:t>
      </w:r>
    </w:p>
    <w:p w:rsidRPr="002B1302" w:rsidR="00B05819" w:rsidP="002B1302" w:rsidRDefault="00B05819" w14:paraId="0C31CD5B" w14:textId="24AA4D88">
      <w:pPr>
        <w:numPr>
          <w:ilvl w:val="0"/>
          <w:numId w:val="6"/>
        </w:numPr>
      </w:pPr>
      <w:r>
        <w:t xml:space="preserve">Rapport </w:t>
      </w:r>
      <w:r w:rsidR="00885EA4">
        <w:t xml:space="preserve">d'étude</w:t>
      </w:r>
      <w:r>
        <w:t xml:space="preserve"> de cas </w:t>
      </w:r>
      <w:r>
        <w:t xml:space="preserve">sur </w:t>
      </w:r>
      <w:r>
        <w:t xml:space="preserve">le commerce </w:t>
      </w:r>
      <w:r w:rsidR="00DC02B4">
        <w:t xml:space="preserve">transfrontalier</w:t>
      </w:r>
    </w:p>
    <w:p w:rsidRPr="002B1302" w:rsidR="002B1302" w:rsidP="002B1302" w:rsidRDefault="002B1302" w14:paraId="0B559779" w14:textId="77777777">
      <w:pPr>
        <w:numPr>
          <w:ilvl w:val="0"/>
          <w:numId w:val="6"/>
        </w:numPr>
      </w:pPr>
      <w:r w:rsidRPr="002B1302">
        <w:t xml:space="preserve">Projet de rapport d'évaluation à mi-parcours.</w:t>
      </w:r>
    </w:p>
    <w:p w:rsidRPr="002B1302" w:rsidR="002B1302" w:rsidP="002B1302" w:rsidRDefault="002B1302" w14:paraId="6DA0AB8F" w14:textId="77777777">
      <w:pPr>
        <w:numPr>
          <w:ilvl w:val="0"/>
          <w:numId w:val="6"/>
        </w:numPr>
      </w:pPr>
      <w:r w:rsidRPr="002B1302">
        <w:t xml:space="preserve">Rapport final intégrant les commentaires.</w:t>
      </w:r>
    </w:p>
    <w:p w:rsidRPr="002B1302" w:rsidR="002B1302" w:rsidP="002B1302" w:rsidRDefault="002B1302" w14:paraId="47E28C67" w14:textId="77777777">
      <w:pPr>
        <w:numPr>
          <w:ilvl w:val="0"/>
          <w:numId w:val="6"/>
        </w:numPr>
      </w:pPr>
      <w:r w:rsidRPr="002B1302">
        <w:t xml:space="preserve">Priorités d'action pour janvier-décembre 2026.</w:t>
      </w:r>
    </w:p>
    <w:p w:rsidRPr="002B1302" w:rsidR="002B1302" w:rsidP="002B1302" w:rsidRDefault="002B1302" w14:paraId="59312435" w14:textId="6E8FCFA9"/>
    <w:p w:rsidRPr="00903443" w:rsidR="002B1302" w:rsidP="006C2D68" w:rsidRDefault="002B1302" w14:paraId="4D46E875" w14:textId="255D409A">
      <w:pPr>
        <w:pStyle w:val="ListParagraph"/>
        <w:numPr>
          <w:ilvl w:val="0"/>
          <w:numId w:val="14"/>
        </w:numPr>
        <w:rPr>
          <w:b/>
          <w:bCs/>
          <w:color w:val="4472C4" w:themeColor="accent1"/>
        </w:rPr>
      </w:pPr>
      <w:r w:rsidRPr="00903443">
        <w:rPr>
          <w:b/>
          <w:bCs/>
          <w:color w:val="4472C4" w:themeColor="accent1"/>
        </w:rPr>
        <w:t xml:space="preserve">Calendrier et durée</w:t>
      </w:r>
    </w:p>
    <w:p w:rsidRPr="00A144CC" w:rsidR="002427A0" w:rsidP="002427A0" w:rsidRDefault="002427A0" w14:paraId="4AC4EDBF" w14:textId="1C306DDF">
      <w:pPr>
        <w:jc w:val="both"/>
        <w:rPr>
          <w:rFonts w:cstheme="minorHAnsi"/>
        </w:rPr>
      </w:pPr>
      <w:r w:rsidR="004D612F">
        <w:rPr>
          <w:rFonts w:cstheme="minorHAnsi"/>
        </w:rPr>
        <w:t xml:space="preserve">L'évaluation à mi-parcours </w:t>
      </w:r>
      <w:r w:rsidRPr="00A144CC">
        <w:rPr>
          <w:rFonts w:cstheme="minorHAnsi"/>
        </w:rPr>
        <w:t xml:space="preserve">s'étend sur une période de 45 jours ouvrables </w:t>
      </w:r>
      <w:r w:rsidRPr="00A144CC">
        <w:rPr>
          <w:rFonts w:cstheme="minorHAnsi"/>
        </w:rPr>
        <w:t xml:space="preserve">et</w:t>
      </w:r>
      <w:r w:rsidR="004D612F">
        <w:rPr>
          <w:rFonts w:cstheme="minorHAnsi"/>
        </w:rPr>
        <w:t xml:space="preserve">,</w:t>
      </w:r>
      <w:r w:rsidRPr="00A144CC">
        <w:rPr>
          <w:rFonts w:cstheme="minorHAnsi"/>
        </w:rPr>
        <w:t xml:space="preserve"> en tout état de cause, le consultant ne doit pas dépasser </w:t>
      </w:r>
      <w:r w:rsidRPr="00A144CC">
        <w:rPr>
          <w:rFonts w:cstheme="minorHAnsi"/>
          <w:b/>
          <w:vertAlign w:val="superscript"/>
        </w:rPr>
        <w:t xml:space="preserve">le</w:t>
      </w:r>
      <w:r w:rsidR="00F66EDC">
        <w:rPr>
          <w:rFonts w:cstheme="minorHAnsi"/>
          <w:b/>
        </w:rPr>
        <w:t xml:space="preserve"> 20 </w:t>
      </w:r>
      <w:r w:rsidR="00F66EDC">
        <w:rPr>
          <w:rFonts w:cstheme="minorHAnsi"/>
          <w:b/>
        </w:rPr>
        <w:t xml:space="preserve">novembre</w:t>
      </w:r>
      <w:r w:rsidR="004D612F">
        <w:rPr>
          <w:rFonts w:cstheme="minorHAnsi"/>
          <w:b/>
        </w:rPr>
        <w:t xml:space="preserve"> 2025 </w:t>
      </w:r>
      <w:r w:rsidRPr="00A144CC">
        <w:rPr>
          <w:rFonts w:cstheme="minorHAnsi"/>
        </w:rPr>
        <w:t xml:space="preserve">pour mener à bien sa mission.</w:t>
      </w:r>
    </w:p>
    <w:p w:rsidRPr="002B1302" w:rsidR="002B1302" w:rsidP="002B1302" w:rsidRDefault="002B1302" w14:paraId="1878230E" w14:textId="040CE4DF"/>
    <w:p w:rsidRPr="00903443" w:rsidR="002B1302" w:rsidP="006C2D68" w:rsidRDefault="002B1302" w14:paraId="53E5806A" w14:textId="007B79DF">
      <w:pPr>
        <w:pStyle w:val="ListParagraph"/>
        <w:numPr>
          <w:ilvl w:val="0"/>
          <w:numId w:val="14"/>
        </w:numPr>
        <w:rPr>
          <w:b/>
          <w:bCs/>
          <w:color w:val="4472C4" w:themeColor="accent1"/>
        </w:rPr>
      </w:pPr>
      <w:r w:rsidRPr="00903443">
        <w:rPr>
          <w:b/>
          <w:bCs/>
          <w:color w:val="4472C4" w:themeColor="accent1"/>
        </w:rPr>
        <w:t xml:space="preserve">Qualifications de l'équipe d'évaluation</w:t>
      </w:r>
    </w:p>
    <w:p w:rsidRPr="005966D5" w:rsidR="005966D5" w:rsidP="00BA2E2F" w:rsidRDefault="005966D5" w14:paraId="6F58B8CA" w14:textId="1ADE9D11">
      <w:pPr>
        <w:rPr>
          <w:lang w:val="en-US"/>
        </w:rPr>
      </w:pPr>
      <w:r w:rsidRPr="005966D5">
        <w:rPr>
          <w:lang w:val="en-US"/>
        </w:rPr>
        <w:t xml:space="preserve">Le consultant (ou l'équipe de consultants) doit répondre aux critères suivants :</w:t>
      </w:r>
    </w:p>
    <w:p w:rsidRPr="005966D5" w:rsidR="005966D5" w:rsidP="00C06540" w:rsidRDefault="005966D5" w14:paraId="1AED316B" w14:textId="208FD395">
      <w:pPr>
        <w:ind w:firstLine="360"/>
        <w:rPr>
          <w:lang w:val="fr-FR"/>
        </w:rPr>
      </w:pPr>
      <w:r w:rsidRPr="005966D5" w:rsidR="00BA2E2F">
        <w:rPr>
          <w:b/>
          <w:bCs/>
          <w:lang w:val="fr-FR"/>
        </w:rPr>
        <w:t xml:space="preserve">Expérience</w:t>
      </w:r>
      <w:r w:rsidRPr="005966D5">
        <w:rPr>
          <w:b/>
          <w:bCs/>
          <w:lang w:val="fr-FR"/>
        </w:rPr>
        <w:t xml:space="preserve"> professionnelle </w:t>
      </w:r>
      <w:r w:rsidRPr="005966D5" w:rsidR="00BA2E2F">
        <w:rPr>
          <w:lang w:val="fr-FR"/>
        </w:rPr>
        <w:t xml:space="preserve">:</w:t>
      </w:r>
    </w:p>
    <w:p w:rsidRPr="002B1302" w:rsidR="00BA2E2F" w:rsidP="00BA2E2F" w:rsidRDefault="00494A3D" w14:paraId="5935CC63" w14:textId="3C196680">
      <w:pPr>
        <w:numPr>
          <w:ilvl w:val="0"/>
          <w:numId w:val="16"/>
        </w:numPr>
      </w:pPr>
      <w:r w:rsidRPr="005966D5">
        <w:rPr>
          <w:lang w:val="en-US"/>
        </w:rPr>
        <w:t xml:space="preserve">Au moins 7 ans d'expérience dans </w:t>
      </w:r>
      <w:r w:rsidRPr="002B1302" w:rsidR="00BA2E2F">
        <w:t xml:space="preserve">l'évaluation de programmes, en particulier dans les domaines de l'agroécologie, du plaidoyer politique et de la facilitation des échanges commerciaux </w:t>
      </w:r>
      <w:r w:rsidRPr="0064553E" w:rsidR="0064553E">
        <w:rPr>
          <w:lang w:val="en-US"/>
        </w:rPr>
        <w:t xml:space="preserve">en Afrique</w:t>
      </w:r>
      <w:r w:rsidRPr="002B1302" w:rsidR="00BA2E2F">
        <w:t xml:space="preserve">.</w:t>
      </w:r>
    </w:p>
    <w:p w:rsidRPr="002B1302" w:rsidR="00BA2E2F" w:rsidP="00BA2E2F" w:rsidRDefault="00BA2E2F" w14:paraId="7FEEE61A" w14:textId="77777777">
      <w:pPr>
        <w:numPr>
          <w:ilvl w:val="0"/>
          <w:numId w:val="16"/>
        </w:numPr>
      </w:pPr>
      <w:r w:rsidRPr="002B1302">
        <w:t xml:space="preserve">Solides connaissances des systèmes alimentaires africains et des cadres commerciaux transfrontaliers.</w:t>
      </w:r>
    </w:p>
    <w:p w:rsidRPr="006C2D68" w:rsidR="00BA2E2F" w:rsidP="00BA2E2F" w:rsidRDefault="00BA2E2F" w14:paraId="0AFE621E" w14:textId="77777777">
      <w:pPr>
        <w:numPr>
          <w:ilvl w:val="0"/>
          <w:numId w:val="16"/>
        </w:numPr>
      </w:pPr>
      <w:r w:rsidRPr="002B1302">
        <w:t xml:space="preserve">Compétences en matière d'approches d'évaluation participatives et mixtes.</w:t>
      </w:r>
    </w:p>
    <w:p w:rsidRPr="005966D5" w:rsidR="005966D5" w:rsidP="00C06540" w:rsidRDefault="005966D5" w14:paraId="1EED9060" w14:textId="6088CC58">
      <w:pPr>
        <w:ind w:firstLine="360"/>
        <w:rPr>
          <w:lang w:val="fr-FR"/>
        </w:rPr>
      </w:pPr>
      <w:r w:rsidRPr="005966D5">
        <w:rPr>
          <w:b/>
          <w:bCs/>
          <w:lang w:val="fr-FR"/>
        </w:rPr>
        <w:t xml:space="preserve">Autres </w:t>
      </w:r>
      <w:r w:rsidRPr="005966D5" w:rsidR="00225967">
        <w:rPr>
          <w:b/>
          <w:bCs/>
          <w:lang w:val="fr-FR"/>
        </w:rPr>
        <w:t xml:space="preserve">compétences </w:t>
      </w:r>
      <w:r w:rsidRPr="005966D5" w:rsidR="00225967">
        <w:rPr>
          <w:lang w:val="fr-FR"/>
        </w:rPr>
        <w:t xml:space="preserve">:</w:t>
      </w:r>
    </w:p>
    <w:p w:rsidR="005966D5" w:rsidP="00DF6034" w:rsidRDefault="005966D5" w14:paraId="1AC87BA2" w14:textId="3CD71AC2">
      <w:pPr>
        <w:numPr>
          <w:ilvl w:val="0"/>
          <w:numId w:val="16"/>
        </w:numPr>
        <w:rPr>
          <w:lang w:val="en-US"/>
        </w:rPr>
      </w:pPr>
      <w:r w:rsidRPr="005966D5">
        <w:rPr>
          <w:lang w:val="en-US"/>
        </w:rPr>
        <w:t xml:space="preserve">Excellentes compétences en rédaction, synthèse et communication</w:t>
      </w:r>
    </w:p>
    <w:p w:rsidRPr="005966D5" w:rsidR="00C11EEA" w:rsidP="00DF6034" w:rsidRDefault="00E92CC5" w14:paraId="1A0561BA" w14:textId="5F0F8A33">
      <w:pPr>
        <w:numPr>
          <w:ilvl w:val="0"/>
          <w:numId w:val="16"/>
        </w:numPr>
        <w:rPr>
          <w:lang w:val="en-US"/>
        </w:rPr>
      </w:pPr>
      <w:r w:rsidRPr="005966D5" w:rsidR="00C11EEA">
        <w:rPr>
          <w:lang w:val="en-US"/>
        </w:rPr>
        <w:t xml:space="preserve">Connaissance</w:t>
      </w:r>
      <w:r>
        <w:rPr>
          <w:lang w:val="en-US"/>
        </w:rPr>
        <w:t xml:space="preserve"> pratique </w:t>
      </w:r>
      <w:r w:rsidRPr="005966D5" w:rsidR="00C11EEA">
        <w:rPr>
          <w:lang w:val="en-US"/>
        </w:rPr>
        <w:t xml:space="preserve">des dynamiques régionales (</w:t>
      </w:r>
      <w:r w:rsidR="002751EA">
        <w:rPr>
          <w:lang w:val="en-US"/>
        </w:rPr>
        <w:t xml:space="preserve">CEA, UA</w:t>
      </w:r>
      <w:r w:rsidRPr="005966D5" w:rsidR="00C11EEA">
        <w:rPr>
          <w:lang w:val="en-US"/>
        </w:rPr>
        <w:t xml:space="preserve">, PDDAA)</w:t>
      </w:r>
    </w:p>
    <w:p w:rsidRPr="005966D5" w:rsidR="005966D5" w:rsidP="00DF6034" w:rsidRDefault="005966D5" w14:paraId="183BB7A4" w14:textId="7235A216">
      <w:pPr>
        <w:numPr>
          <w:ilvl w:val="0"/>
          <w:numId w:val="16"/>
        </w:numPr>
        <w:rPr>
          <w:lang w:val="en-US"/>
        </w:rPr>
      </w:pPr>
      <w:r w:rsidRPr="005966D5">
        <w:rPr>
          <w:lang w:val="en-US"/>
        </w:rPr>
        <w:t xml:space="preserve">Capacité à dialoguer avec les acteurs institutionnels, techniques et de la société civile</w:t>
      </w:r>
    </w:p>
    <w:p w:rsidRPr="005966D5" w:rsidR="005966D5" w:rsidP="00DF6034" w:rsidRDefault="005966D5" w14:paraId="4600D47C" w14:textId="2891EBA8">
      <w:pPr>
        <w:numPr>
          <w:ilvl w:val="0"/>
          <w:numId w:val="16"/>
        </w:numPr>
        <w:rPr>
          <w:lang w:val="en-US"/>
        </w:rPr>
      </w:pPr>
      <w:r w:rsidRPr="005966D5">
        <w:rPr>
          <w:lang w:val="en-US"/>
        </w:rPr>
        <w:t xml:space="preserve">La maîtrise du </w:t>
      </w:r>
      <w:r w:rsidRPr="005966D5">
        <w:rPr>
          <w:lang w:val="en-US"/>
        </w:rPr>
        <w:t xml:space="preserve">français</w:t>
      </w:r>
      <w:r w:rsidR="00B00F96">
        <w:rPr>
          <w:lang w:val="en-US"/>
        </w:rPr>
        <w:t xml:space="preserve"> </w:t>
      </w:r>
      <w:r w:rsidR="00B00F96">
        <w:rPr>
          <w:lang w:val="en-US"/>
        </w:rPr>
        <w:t xml:space="preserve">et de l'anglais </w:t>
      </w:r>
      <w:r w:rsidRPr="005966D5">
        <w:rPr>
          <w:lang w:val="en-US"/>
        </w:rPr>
        <w:t xml:space="preserve">est indispensable </w:t>
      </w:r>
      <w:r w:rsidR="00AE633E">
        <w:rPr>
          <w:lang w:val="en-US"/>
        </w:rPr>
        <w:t xml:space="preserve">(au moins un membre de l'équipe doit parler les deux langues)</w:t>
      </w:r>
      <w:r w:rsidRPr="005966D5">
        <w:rPr>
          <w:lang w:val="en-US"/>
        </w:rPr>
        <w:t xml:space="preserve">.</w:t>
      </w:r>
    </w:p>
    <w:p w:rsidRPr="00A144CC" w:rsidR="006C2D68" w:rsidP="006C2D68" w:rsidRDefault="006C2D68" w14:paraId="0EFF3FEA" w14:textId="77777777">
      <w:pPr>
        <w:pStyle w:val="ListParagraph"/>
        <w:pBdr>
          <w:top w:val="nil"/>
          <w:left w:val="nil"/>
          <w:bottom w:val="nil"/>
          <w:right w:val="nil"/>
          <w:between w:val="nil"/>
        </w:pBdr>
        <w:spacing w:after="0"/>
        <w:jc w:val="both"/>
        <w:rPr>
          <w:rFonts w:cstheme="minorHAnsi"/>
        </w:rPr>
      </w:pPr>
    </w:p>
    <w:p w:rsidRPr="00903443" w:rsidR="00BF7D70" w:rsidP="00BF7D70" w:rsidRDefault="00BF7D70" w14:paraId="76723BBB" w14:textId="77777777">
      <w:pPr>
        <w:pStyle w:val="ListParagraph"/>
        <w:numPr>
          <w:ilvl w:val="0"/>
          <w:numId w:val="14"/>
        </w:numPr>
        <w:rPr>
          <w:b/>
          <w:bCs/>
          <w:color w:val="4472C4" w:themeColor="accent1"/>
        </w:rPr>
      </w:pPr>
      <w:r w:rsidRPr="00903443">
        <w:rPr>
          <w:b/>
          <w:bCs/>
          <w:color w:val="4472C4" w:themeColor="accent1"/>
        </w:rPr>
        <w:t xml:space="preserve">Procédure de candidature</w:t>
      </w:r>
    </w:p>
    <w:p w:rsidRPr="006E1864" w:rsidR="006E1864" w:rsidP="00BF7D70" w:rsidRDefault="006E1864" w14:paraId="4AB7DCAC" w14:textId="77777777">
      <w:pPr>
        <w:pStyle w:val="ListParagraph"/>
        <w:ind w:start="360"/>
        <w:rPr>
          <w:lang w:val="en-US"/>
        </w:rPr>
      </w:pPr>
      <w:r w:rsidRPr="006E1864">
        <w:rPr>
          <w:lang w:val="en-US"/>
        </w:rPr>
        <w:t xml:space="preserve">Les candidats intéressés sont invités à soumettre leur candidature comprenant :</w:t>
      </w:r>
    </w:p>
    <w:p w:rsidR="00097E87" w:rsidP="00556BEA" w:rsidRDefault="00556BEA" w14:paraId="0631C091" w14:textId="2B4195F5">
      <w:pPr>
        <w:pStyle w:val="ListParagraph"/>
        <w:numPr>
          <w:ilvl w:val="0"/>
          <w:numId w:val="11"/>
        </w:numPr>
        <w:pBdr>
          <w:top w:val="nil"/>
          <w:left w:val="nil"/>
          <w:bottom w:val="nil"/>
          <w:right w:val="nil"/>
          <w:between w:val="nil"/>
        </w:pBdr>
        <w:spacing w:after="0"/>
        <w:jc w:val="both"/>
        <w:rPr>
          <w:rFonts w:cstheme="minorHAnsi"/>
        </w:rPr>
      </w:pPr>
      <w:r w:rsidRPr="00A144CC">
        <w:rPr>
          <w:rFonts w:cstheme="minorHAnsi"/>
        </w:rPr>
        <w:t xml:space="preserve">Une brève réflexion (</w:t>
      </w:r>
      <w:r w:rsidR="00C41DF6">
        <w:rPr>
          <w:rFonts w:cstheme="minorHAnsi"/>
        </w:rPr>
        <w:t xml:space="preserve">4 </w:t>
      </w:r>
      <w:r w:rsidRPr="00A144CC">
        <w:rPr>
          <w:rFonts w:cstheme="minorHAnsi"/>
        </w:rPr>
        <w:t xml:space="preserve">pages </w:t>
      </w:r>
      <w:r w:rsidR="006E7E36">
        <w:rPr>
          <w:rFonts w:cstheme="minorHAnsi"/>
        </w:rPr>
        <w:t xml:space="preserve">maximum</w:t>
      </w:r>
      <w:r w:rsidRPr="00A144CC">
        <w:rPr>
          <w:rFonts w:cstheme="minorHAnsi"/>
        </w:rPr>
        <w:t xml:space="preserve">) </w:t>
      </w:r>
      <w:r w:rsidR="0050132E">
        <w:rPr>
          <w:rFonts w:cstheme="minorHAnsi"/>
        </w:rPr>
        <w:t xml:space="preserve">décrivant </w:t>
      </w:r>
      <w:r w:rsidR="00C41DF6">
        <w:rPr>
          <w:rFonts w:cstheme="minorHAnsi"/>
        </w:rPr>
        <w:t xml:space="preserve">votre </w:t>
      </w:r>
      <w:r>
        <w:rPr>
          <w:rFonts w:cstheme="minorHAnsi"/>
        </w:rPr>
        <w:t xml:space="preserve">compréhension technique de la mission, de </w:t>
      </w:r>
      <w:r w:rsidRPr="00A144CC">
        <w:rPr>
          <w:rFonts w:cstheme="minorHAnsi"/>
        </w:rPr>
        <w:t xml:space="preserve">la méthodologie </w:t>
      </w:r>
      <w:r w:rsidR="00874840">
        <w:rPr>
          <w:rFonts w:cstheme="minorHAnsi"/>
        </w:rPr>
        <w:t xml:space="preserve">et </w:t>
      </w:r>
      <w:r w:rsidRPr="00A144CC">
        <w:rPr>
          <w:rFonts w:cstheme="minorHAnsi"/>
        </w:rPr>
        <w:t xml:space="preserve">du calendrier</w:t>
      </w:r>
    </w:p>
    <w:p w:rsidRPr="00A144CC" w:rsidR="00556BEA" w:rsidP="00556BEA" w:rsidRDefault="00E227D1" w14:paraId="3D362C7D" w14:textId="4E3CAD31">
      <w:pPr>
        <w:pStyle w:val="ListParagraph"/>
        <w:numPr>
          <w:ilvl w:val="0"/>
          <w:numId w:val="11"/>
        </w:numPr>
        <w:pBdr>
          <w:top w:val="nil"/>
          <w:left w:val="nil"/>
          <w:bottom w:val="nil"/>
          <w:right w:val="nil"/>
          <w:between w:val="nil"/>
        </w:pBdr>
        <w:spacing w:after="0"/>
        <w:jc w:val="both"/>
        <w:rPr>
          <w:rFonts w:cstheme="minorHAnsi"/>
        </w:rPr>
      </w:pPr>
      <w:r w:rsidR="00DB5D5C">
        <w:rPr>
          <w:rFonts w:cstheme="minorHAnsi"/>
        </w:rPr>
        <w:t xml:space="preserve">Une proposition </w:t>
      </w:r>
      <w:r>
        <w:rPr>
          <w:rFonts w:cstheme="minorHAnsi"/>
        </w:rPr>
        <w:t xml:space="preserve">financière </w:t>
      </w:r>
      <w:r>
        <w:rPr>
          <w:rFonts w:cstheme="minorHAnsi"/>
        </w:rPr>
        <w:t xml:space="preserve">(budget) </w:t>
      </w:r>
      <w:r w:rsidR="00DB5D5C">
        <w:rPr>
          <w:rFonts w:cstheme="minorHAnsi"/>
        </w:rPr>
        <w:t xml:space="preserve">détaillant les coûts </w:t>
      </w:r>
      <w:r>
        <w:rPr>
          <w:rFonts w:cstheme="minorHAnsi"/>
        </w:rPr>
        <w:t xml:space="preserve">(en dollars américains)</w:t>
      </w:r>
      <w:r w:rsidR="00A96045">
        <w:rPr>
          <w:rFonts w:cstheme="minorHAnsi"/>
        </w:rPr>
        <w:t xml:space="preserve">, </w:t>
      </w:r>
      <w:r w:rsidR="00E04D1D">
        <w:rPr>
          <w:rFonts w:cstheme="minorHAnsi"/>
        </w:rPr>
        <w:t xml:space="preserve">taxes</w:t>
      </w:r>
      <w:r w:rsidR="00A96045">
        <w:rPr>
          <w:rFonts w:cstheme="minorHAnsi"/>
        </w:rPr>
        <w:t xml:space="preserve"> comprises</w:t>
      </w:r>
    </w:p>
    <w:p w:rsidR="00B758DA" w:rsidP="00556BEA" w:rsidRDefault="008F7148" w14:paraId="1C656282" w14:textId="5FFCF479">
      <w:pPr>
        <w:pStyle w:val="ListParagraph"/>
        <w:numPr>
          <w:ilvl w:val="0"/>
          <w:numId w:val="11"/>
        </w:numPr>
        <w:pBdr>
          <w:top w:val="nil"/>
          <w:left w:val="nil"/>
          <w:bottom w:val="nil"/>
          <w:right w:val="nil"/>
          <w:between w:val="nil"/>
        </w:pBdr>
        <w:jc w:val="both"/>
        <w:rPr>
          <w:rFonts w:cstheme="minorHAnsi"/>
        </w:rPr>
      </w:pPr>
      <w:r>
        <w:rPr>
          <w:rFonts w:cstheme="minorHAnsi"/>
        </w:rPr>
        <w:t xml:space="preserve">CV détaillé </w:t>
      </w:r>
      <w:r w:rsidR="00F639C8">
        <w:rPr>
          <w:rFonts w:cstheme="minorHAnsi"/>
        </w:rPr>
        <w:t xml:space="preserve">de chaque membre de l'équipe et rôle dans le cadre de </w:t>
      </w:r>
      <w:r w:rsidR="00BF7D70">
        <w:rPr>
          <w:rFonts w:cstheme="minorHAnsi"/>
        </w:rPr>
        <w:t xml:space="preserve">la mission</w:t>
      </w:r>
    </w:p>
    <w:p w:rsidR="004A0526" w:rsidP="00556BEA" w:rsidRDefault="00B758DA" w14:paraId="3AF3F593" w14:textId="22C8D4F6">
      <w:pPr>
        <w:pStyle w:val="ListParagraph"/>
        <w:numPr>
          <w:ilvl w:val="0"/>
          <w:numId w:val="11"/>
        </w:numPr>
        <w:pBdr>
          <w:top w:val="nil"/>
          <w:left w:val="nil"/>
          <w:bottom w:val="nil"/>
          <w:right w:val="nil"/>
          <w:between w:val="nil"/>
        </w:pBdr>
        <w:jc w:val="both"/>
        <w:rPr>
          <w:rFonts w:cstheme="minorHAnsi"/>
        </w:rPr>
      </w:pPr>
      <w:r>
        <w:rPr>
          <w:rFonts w:cstheme="minorHAnsi"/>
        </w:rPr>
        <w:t xml:space="preserve">Exemple(s) </w:t>
      </w:r>
      <w:r w:rsidR="004A0526">
        <w:rPr>
          <w:rFonts w:cstheme="minorHAnsi"/>
        </w:rPr>
        <w:t xml:space="preserve">de travaux similaires </w:t>
      </w:r>
      <w:r w:rsidR="004A0526">
        <w:rPr>
          <w:rFonts w:cstheme="minorHAnsi"/>
        </w:rPr>
        <w:t xml:space="preserve">réalisés</w:t>
      </w:r>
    </w:p>
    <w:p w:rsidRPr="006E1864" w:rsidR="00556BEA" w:rsidP="006E1864" w:rsidRDefault="00453E3F" w14:paraId="063986DE" w14:textId="76765D57">
      <w:pPr>
        <w:pBdr>
          <w:top w:val="nil"/>
          <w:left w:val="nil"/>
          <w:bottom w:val="nil"/>
          <w:right w:val="nil"/>
          <w:between w:val="nil"/>
        </w:pBdr>
        <w:jc w:val="both"/>
        <w:rPr>
          <w:rFonts w:cstheme="minorHAnsi"/>
        </w:rPr>
      </w:pPr>
      <w:r w:rsidRPr="006E1864" w:rsidR="00556BEA">
        <w:rPr>
          <w:rFonts w:cstheme="minorHAnsi"/>
        </w:rPr>
        <w:t xml:space="preserve">Envoyez </w:t>
      </w:r>
      <w:r w:rsidRPr="006E1864" w:rsidR="00F320BD">
        <w:rPr>
          <w:rFonts w:cstheme="minorHAnsi"/>
        </w:rPr>
        <w:t xml:space="preserve">votre candidature </w:t>
      </w:r>
      <w:r w:rsidRPr="006E1864" w:rsidR="00556BEA">
        <w:rPr>
          <w:rFonts w:cstheme="minorHAnsi"/>
        </w:rPr>
        <w:t xml:space="preserve">par e-mail à</w:t>
      </w:r>
      <w:hyperlink r:id="rId8">
        <w:r w:rsidRPr="006E1864" w:rsidR="00556BEA">
          <w:rPr>
            <w:rFonts w:cstheme="minorHAnsi"/>
            <w:color w:val="0000FF"/>
            <w:u w:val="single"/>
          </w:rPr>
          <w:t>afsa@afsafrica.org</w:t>
        </w:r>
      </w:hyperlink>
      <w:r w:rsidRPr="006E1864" w:rsidR="00556BEA">
        <w:rPr>
          <w:rFonts w:cstheme="minorHAnsi"/>
        </w:rPr>
        <w:t xml:space="preserve">  avant 17 h (heure de l'Afrique de l'Est) le</w:t>
      </w:r>
      <w:r w:rsidR="00AF7BB3">
        <w:rPr>
          <w:rFonts w:cstheme="minorHAnsi"/>
        </w:rPr>
        <w:t xml:space="preserve"> 27 </w:t>
      </w:r>
      <w:r w:rsidRPr="006E1864" w:rsidR="00AC5779">
        <w:rPr>
          <w:rFonts w:cstheme="minorHAnsi"/>
        </w:rPr>
        <w:t xml:space="preserve">août 2025</w:t>
      </w:r>
      <w:r w:rsidRPr="006E1864" w:rsidR="00B359BD">
        <w:rPr>
          <w:rFonts w:cstheme="minorHAnsi"/>
        </w:rPr>
        <w:t xml:space="preserve">. </w:t>
      </w:r>
      <w:r w:rsidRPr="006E1864" w:rsidR="00556BEA">
        <w:rPr>
          <w:rFonts w:cstheme="minorHAnsi"/>
        </w:rPr>
        <w:t xml:space="preserve">L'e-mail doit indiquer </w:t>
      </w:r>
      <w:r w:rsidRPr="006E1864" w:rsidR="00556BEA">
        <w:rPr>
          <w:rFonts w:cstheme="minorHAnsi"/>
          <w:b/>
        </w:rPr>
        <w:t xml:space="preserve">«</w:t>
      </w:r>
      <w:r w:rsidRPr="006E1864" w:rsidR="00556BEA">
        <w:rPr>
          <w:rFonts w:cstheme="minorHAnsi"/>
        </w:rPr>
        <w:t xml:space="preserve"> </w:t>
      </w:r>
      <w:r w:rsidRPr="006E1864" w:rsidR="00556BEA">
        <w:rPr>
          <w:rFonts w:cstheme="minorHAnsi"/>
          <w:b/>
        </w:rPr>
        <w:t xml:space="preserve">Candidature - </w:t>
      </w:r>
      <w:r w:rsidRPr="006E1864" w:rsidR="007413B5">
        <w:rPr>
          <w:rFonts w:cstheme="minorHAnsi"/>
          <w:b/>
        </w:rPr>
        <w:t xml:space="preserve">É</w:t>
      </w:r>
      <w:r w:rsidRPr="006E1864" w:rsidR="00556BEA">
        <w:rPr>
          <w:rFonts w:cstheme="minorHAnsi"/>
          <w:b/>
        </w:rPr>
        <w:t xml:space="preserve">valuation </w:t>
      </w:r>
      <w:r w:rsidRPr="006E1864" w:rsidR="007413B5">
        <w:rPr>
          <w:rFonts w:cstheme="minorHAnsi"/>
          <w:b/>
        </w:rPr>
        <w:t xml:space="preserve">à mi-parcours du</w:t>
      </w:r>
      <w:r w:rsidRPr="006E1864" w:rsidR="00556BEA">
        <w:rPr>
          <w:rFonts w:cstheme="minorHAnsi"/>
          <w:b/>
        </w:rPr>
        <w:t xml:space="preserve"> TAFS </w:t>
      </w:r>
      <w:r w:rsidRPr="006E1864" w:rsidR="00556BEA">
        <w:rPr>
          <w:rFonts w:cstheme="minorHAnsi"/>
          <w:b/>
        </w:rPr>
        <w:t xml:space="preserve">» </w:t>
      </w:r>
      <w:r w:rsidRPr="006E1864" w:rsidR="00556BEA">
        <w:rPr>
          <w:rFonts w:cstheme="minorHAnsi"/>
        </w:rPr>
        <w:t xml:space="preserve">dans l'objet. </w:t>
      </w:r>
    </w:p>
    <w:p w:rsidRPr="00051460" w:rsidR="002D071B" w:rsidRDefault="002D071B" w14:paraId="17E17F87" w14:textId="77B733F8">
      <w:pPr>
        <w:rPr>
          <w:lang w:val="en-US"/>
        </w:rPr>
      </w:pPr>
    </w:p>
    <w:sectPr w:rsidRPr="00051460" w:rsidR="002D071B">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C5B98" w:rsidP="005F597F" w:rsidRDefault="00EC5B98" w14:paraId="1F034298" w14:textId="77777777">
      <w:pPr>
        <w:spacing w:after="0" w:line="240" w:lineRule="auto"/>
      </w:pPr>
      <w:r>
        <w:separator/>
      </w:r>
    </w:p>
  </w:endnote>
  <w:endnote w:type="continuationSeparator" w:id="0">
    <w:p w:rsidR="00EC5B98" w:rsidP="005F597F" w:rsidRDefault="00EC5B98" w14:paraId="3C60EBF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4165129"/>
      <w:docPartObj>
        <w:docPartGallery w:val="Page Numbers (Bottom of Page)"/>
        <w:docPartUnique/>
      </w:docPartObj>
    </w:sdtPr>
    <w:sdtEndPr>
      <w:rPr>
        <w:noProof/>
      </w:rPr>
    </w:sdtEndPr>
    <w:sdtContent>
      <w:p w:rsidR="005F597F" w:rsidRDefault="005F597F" w14:paraId="2FA38AD5" w14:textId="01932E3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5F597F" w:rsidRDefault="005F597F" w14:paraId="4E2740F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C5B98" w:rsidP="005F597F" w:rsidRDefault="00EC5B98" w14:paraId="181B0387" w14:textId="77777777">
      <w:pPr>
        <w:spacing w:after="0" w:line="240" w:lineRule="auto"/>
      </w:pPr>
      <w:r>
        <w:separator/>
      </w:r>
    </w:p>
  </w:footnote>
  <w:footnote w:type="continuationSeparator" w:id="0">
    <w:p w:rsidR="00EC5B98" w:rsidP="005F597F" w:rsidRDefault="00EC5B98" w14:paraId="7891E60D"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96332"/>
    <w:multiLevelType w:val="multilevel"/>
    <w:tmpl w:val="7A5A66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D149E4"/>
    <w:multiLevelType w:val="multilevel"/>
    <w:tmpl w:val="DD1CF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A75228"/>
    <w:multiLevelType w:val="multilevel"/>
    <w:tmpl w:val="09E053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6E530C"/>
    <w:multiLevelType w:val="hybridMultilevel"/>
    <w:tmpl w:val="72CC7D9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25306D6A"/>
    <w:multiLevelType w:val="multilevel"/>
    <w:tmpl w:val="ABA2E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650B56"/>
    <w:multiLevelType w:val="hybridMultilevel"/>
    <w:tmpl w:val="24C88B0C"/>
    <w:lvl w:ilvl="0" w:tplc="5DEA6B42">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 w15:restartNumberingAfterBreak="0">
    <w:nsid w:val="2BDE29BB"/>
    <w:multiLevelType w:val="multilevel"/>
    <w:tmpl w:val="5F70DB98"/>
    <w:lvl w:ilvl="0">
      <w:start w:val="1"/>
      <w:numFmt w:val="decimal"/>
      <w:lvlText w:val="%1.0"/>
      <w:lvlJc w:val="left"/>
      <w:pPr>
        <w:ind w:left="720" w:hanging="720"/>
      </w:pPr>
      <w:rPr>
        <w:rFonts w:eastAsia="Times New Roman" w:cstheme="majorBidi" w:hint="default"/>
      </w:rPr>
    </w:lvl>
    <w:lvl w:ilvl="1">
      <w:start w:val="1"/>
      <w:numFmt w:val="decimal"/>
      <w:lvlText w:val="%1.%2"/>
      <w:lvlJc w:val="left"/>
      <w:pPr>
        <w:ind w:left="1428" w:hanging="720"/>
      </w:pPr>
      <w:rPr>
        <w:rFonts w:eastAsia="Times New Roman" w:cstheme="majorBidi" w:hint="default"/>
      </w:rPr>
    </w:lvl>
    <w:lvl w:ilvl="2">
      <w:start w:val="1"/>
      <w:numFmt w:val="decimal"/>
      <w:lvlText w:val="%1.%2.%3"/>
      <w:lvlJc w:val="left"/>
      <w:pPr>
        <w:ind w:left="2136" w:hanging="720"/>
      </w:pPr>
      <w:rPr>
        <w:rFonts w:eastAsia="Times New Roman" w:cstheme="majorBidi" w:hint="default"/>
      </w:rPr>
    </w:lvl>
    <w:lvl w:ilvl="3">
      <w:start w:val="1"/>
      <w:numFmt w:val="decimal"/>
      <w:lvlText w:val="%1.%2.%3.%4"/>
      <w:lvlJc w:val="left"/>
      <w:pPr>
        <w:ind w:left="3204" w:hanging="1080"/>
      </w:pPr>
      <w:rPr>
        <w:rFonts w:eastAsia="Times New Roman" w:cstheme="majorBidi" w:hint="default"/>
      </w:rPr>
    </w:lvl>
    <w:lvl w:ilvl="4">
      <w:start w:val="1"/>
      <w:numFmt w:val="decimal"/>
      <w:lvlText w:val="%1.%2.%3.%4.%5"/>
      <w:lvlJc w:val="left"/>
      <w:pPr>
        <w:ind w:left="4272" w:hanging="1440"/>
      </w:pPr>
      <w:rPr>
        <w:rFonts w:eastAsia="Times New Roman" w:cstheme="majorBidi" w:hint="default"/>
      </w:rPr>
    </w:lvl>
    <w:lvl w:ilvl="5">
      <w:start w:val="1"/>
      <w:numFmt w:val="decimal"/>
      <w:lvlText w:val="%1.%2.%3.%4.%5.%6"/>
      <w:lvlJc w:val="left"/>
      <w:pPr>
        <w:ind w:left="4980" w:hanging="1440"/>
      </w:pPr>
      <w:rPr>
        <w:rFonts w:eastAsia="Times New Roman" w:cstheme="majorBidi" w:hint="default"/>
      </w:rPr>
    </w:lvl>
    <w:lvl w:ilvl="6">
      <w:start w:val="1"/>
      <w:numFmt w:val="decimal"/>
      <w:lvlText w:val="%1.%2.%3.%4.%5.%6.%7"/>
      <w:lvlJc w:val="left"/>
      <w:pPr>
        <w:ind w:left="6048" w:hanging="1800"/>
      </w:pPr>
      <w:rPr>
        <w:rFonts w:eastAsia="Times New Roman" w:cstheme="majorBidi" w:hint="default"/>
      </w:rPr>
    </w:lvl>
    <w:lvl w:ilvl="7">
      <w:start w:val="1"/>
      <w:numFmt w:val="decimal"/>
      <w:lvlText w:val="%1.%2.%3.%4.%5.%6.%7.%8"/>
      <w:lvlJc w:val="left"/>
      <w:pPr>
        <w:ind w:left="7116" w:hanging="2160"/>
      </w:pPr>
      <w:rPr>
        <w:rFonts w:eastAsia="Times New Roman" w:cstheme="majorBidi" w:hint="default"/>
      </w:rPr>
    </w:lvl>
    <w:lvl w:ilvl="8">
      <w:start w:val="1"/>
      <w:numFmt w:val="decimal"/>
      <w:lvlText w:val="%1.%2.%3.%4.%5.%6.%7.%8.%9"/>
      <w:lvlJc w:val="left"/>
      <w:pPr>
        <w:ind w:left="7824" w:hanging="2160"/>
      </w:pPr>
      <w:rPr>
        <w:rFonts w:eastAsia="Times New Roman" w:cstheme="majorBidi" w:hint="default"/>
      </w:rPr>
    </w:lvl>
  </w:abstractNum>
  <w:abstractNum w:abstractNumId="7" w15:restartNumberingAfterBreak="0">
    <w:nsid w:val="30915AE7"/>
    <w:multiLevelType w:val="multilevel"/>
    <w:tmpl w:val="4FA24D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09E4964"/>
    <w:multiLevelType w:val="hybridMultilevel"/>
    <w:tmpl w:val="A0648384"/>
    <w:lvl w:ilvl="0" w:tplc="20000013">
      <w:start w:val="1"/>
      <w:numFmt w:val="upp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3DD317FC"/>
    <w:multiLevelType w:val="multilevel"/>
    <w:tmpl w:val="C316B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EF1362"/>
    <w:multiLevelType w:val="multilevel"/>
    <w:tmpl w:val="96443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4CB6C24"/>
    <w:multiLevelType w:val="multilevel"/>
    <w:tmpl w:val="E5C66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F537A1A"/>
    <w:multiLevelType w:val="multilevel"/>
    <w:tmpl w:val="28DAA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9BF4397"/>
    <w:multiLevelType w:val="hybridMultilevel"/>
    <w:tmpl w:val="73F26E68"/>
    <w:lvl w:ilvl="0" w:tplc="5DEA6B42">
      <w:start w:val="1"/>
      <w:numFmt w:val="decimal"/>
      <w:lvlText w:val="%1."/>
      <w:lvlJc w:val="left"/>
      <w:pPr>
        <w:ind w:left="360" w:hanging="360"/>
      </w:pPr>
      <w:rPr>
        <w:rFonts w:hint="default"/>
      </w:r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14" w15:restartNumberingAfterBreak="0">
    <w:nsid w:val="633B262F"/>
    <w:multiLevelType w:val="multilevel"/>
    <w:tmpl w:val="44189A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FB092C"/>
    <w:multiLevelType w:val="multilevel"/>
    <w:tmpl w:val="0C5ECD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5186A20"/>
    <w:multiLevelType w:val="hybridMultilevel"/>
    <w:tmpl w:val="1E4CA70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num w:numId="1" w16cid:durableId="1050694669">
    <w:abstractNumId w:val="2"/>
  </w:num>
  <w:num w:numId="2" w16cid:durableId="578440630">
    <w:abstractNumId w:val="9"/>
  </w:num>
  <w:num w:numId="3" w16cid:durableId="1830441526">
    <w:abstractNumId w:val="1"/>
  </w:num>
  <w:num w:numId="4" w16cid:durableId="632633402">
    <w:abstractNumId w:val="7"/>
  </w:num>
  <w:num w:numId="5" w16cid:durableId="691691791">
    <w:abstractNumId w:val="10"/>
  </w:num>
  <w:num w:numId="6" w16cid:durableId="393545979">
    <w:abstractNumId w:val="12"/>
  </w:num>
  <w:num w:numId="7" w16cid:durableId="970594869">
    <w:abstractNumId w:val="11"/>
  </w:num>
  <w:num w:numId="8" w16cid:durableId="1008365214">
    <w:abstractNumId w:val="4"/>
  </w:num>
  <w:num w:numId="9" w16cid:durableId="113133436">
    <w:abstractNumId w:val="6"/>
  </w:num>
  <w:num w:numId="10" w16cid:durableId="1701081640">
    <w:abstractNumId w:val="8"/>
  </w:num>
  <w:num w:numId="11" w16cid:durableId="26876078">
    <w:abstractNumId w:val="3"/>
  </w:num>
  <w:num w:numId="12" w16cid:durableId="3632434">
    <w:abstractNumId w:val="16"/>
  </w:num>
  <w:num w:numId="13" w16cid:durableId="912817094">
    <w:abstractNumId w:val="5"/>
  </w:num>
  <w:num w:numId="14" w16cid:durableId="439375909">
    <w:abstractNumId w:val="13"/>
  </w:num>
  <w:num w:numId="15" w16cid:durableId="286621206">
    <w:abstractNumId w:val="14"/>
  </w:num>
  <w:num w:numId="16" w16cid:durableId="1774747144">
    <w:abstractNumId w:val="15"/>
  </w:num>
  <w:num w:numId="17" w16cid:durableId="5748190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302"/>
    <w:rsid w:val="000065EF"/>
    <w:rsid w:val="00051460"/>
    <w:rsid w:val="00071A9B"/>
    <w:rsid w:val="00090BC0"/>
    <w:rsid w:val="00094386"/>
    <w:rsid w:val="00097E87"/>
    <w:rsid w:val="000C2B38"/>
    <w:rsid w:val="000F2037"/>
    <w:rsid w:val="00120411"/>
    <w:rsid w:val="001641C4"/>
    <w:rsid w:val="001B518B"/>
    <w:rsid w:val="00214F7B"/>
    <w:rsid w:val="00225351"/>
    <w:rsid w:val="00225967"/>
    <w:rsid w:val="00230230"/>
    <w:rsid w:val="00235B91"/>
    <w:rsid w:val="002427A0"/>
    <w:rsid w:val="0024513E"/>
    <w:rsid w:val="002453DB"/>
    <w:rsid w:val="00254BDA"/>
    <w:rsid w:val="002604EE"/>
    <w:rsid w:val="002751EA"/>
    <w:rsid w:val="00275EAD"/>
    <w:rsid w:val="00296953"/>
    <w:rsid w:val="002A38E0"/>
    <w:rsid w:val="002B1302"/>
    <w:rsid w:val="002B5150"/>
    <w:rsid w:val="002C1FD9"/>
    <w:rsid w:val="002D071B"/>
    <w:rsid w:val="002E54C1"/>
    <w:rsid w:val="00311417"/>
    <w:rsid w:val="00336E17"/>
    <w:rsid w:val="003420A2"/>
    <w:rsid w:val="00342509"/>
    <w:rsid w:val="0036235C"/>
    <w:rsid w:val="00387500"/>
    <w:rsid w:val="003C0C6D"/>
    <w:rsid w:val="003D11FB"/>
    <w:rsid w:val="003F36C4"/>
    <w:rsid w:val="00432B98"/>
    <w:rsid w:val="00437CEA"/>
    <w:rsid w:val="00445590"/>
    <w:rsid w:val="00453E3F"/>
    <w:rsid w:val="00484951"/>
    <w:rsid w:val="00494A3D"/>
    <w:rsid w:val="0049663C"/>
    <w:rsid w:val="004A0526"/>
    <w:rsid w:val="004D612F"/>
    <w:rsid w:val="004E70E4"/>
    <w:rsid w:val="0050132E"/>
    <w:rsid w:val="0052418C"/>
    <w:rsid w:val="00524602"/>
    <w:rsid w:val="00533DAC"/>
    <w:rsid w:val="005546B4"/>
    <w:rsid w:val="00556BEA"/>
    <w:rsid w:val="005732B5"/>
    <w:rsid w:val="00581D26"/>
    <w:rsid w:val="005966D5"/>
    <w:rsid w:val="005A5818"/>
    <w:rsid w:val="005A60F9"/>
    <w:rsid w:val="005F597F"/>
    <w:rsid w:val="006353E7"/>
    <w:rsid w:val="0064553E"/>
    <w:rsid w:val="006A40B4"/>
    <w:rsid w:val="006C2D68"/>
    <w:rsid w:val="006E1864"/>
    <w:rsid w:val="006E7E36"/>
    <w:rsid w:val="007413B5"/>
    <w:rsid w:val="00750849"/>
    <w:rsid w:val="00762E37"/>
    <w:rsid w:val="007B6BC3"/>
    <w:rsid w:val="007C71C7"/>
    <w:rsid w:val="0085263E"/>
    <w:rsid w:val="00874840"/>
    <w:rsid w:val="00885EA4"/>
    <w:rsid w:val="00887E7D"/>
    <w:rsid w:val="00891EEC"/>
    <w:rsid w:val="008F6991"/>
    <w:rsid w:val="008F7148"/>
    <w:rsid w:val="00903443"/>
    <w:rsid w:val="00930637"/>
    <w:rsid w:val="009A18F9"/>
    <w:rsid w:val="009C7FA9"/>
    <w:rsid w:val="00A13CA6"/>
    <w:rsid w:val="00A54A77"/>
    <w:rsid w:val="00A600C7"/>
    <w:rsid w:val="00A60713"/>
    <w:rsid w:val="00A96045"/>
    <w:rsid w:val="00AC4687"/>
    <w:rsid w:val="00AC5779"/>
    <w:rsid w:val="00AD2BC7"/>
    <w:rsid w:val="00AE633E"/>
    <w:rsid w:val="00AF3AA8"/>
    <w:rsid w:val="00AF7BB3"/>
    <w:rsid w:val="00B00F96"/>
    <w:rsid w:val="00B05819"/>
    <w:rsid w:val="00B359BD"/>
    <w:rsid w:val="00B40FE9"/>
    <w:rsid w:val="00B51CCB"/>
    <w:rsid w:val="00B758DA"/>
    <w:rsid w:val="00B779D1"/>
    <w:rsid w:val="00B922A3"/>
    <w:rsid w:val="00BA2E2F"/>
    <w:rsid w:val="00BC2522"/>
    <w:rsid w:val="00BD0D3C"/>
    <w:rsid w:val="00BF7D70"/>
    <w:rsid w:val="00C009DD"/>
    <w:rsid w:val="00C06540"/>
    <w:rsid w:val="00C1061E"/>
    <w:rsid w:val="00C11EEA"/>
    <w:rsid w:val="00C14AF5"/>
    <w:rsid w:val="00C31201"/>
    <w:rsid w:val="00C41DF6"/>
    <w:rsid w:val="00C46AA0"/>
    <w:rsid w:val="00C53FEA"/>
    <w:rsid w:val="00C577A3"/>
    <w:rsid w:val="00C726AB"/>
    <w:rsid w:val="00C744FC"/>
    <w:rsid w:val="00CA2842"/>
    <w:rsid w:val="00CB4E53"/>
    <w:rsid w:val="00CF7A01"/>
    <w:rsid w:val="00D54D06"/>
    <w:rsid w:val="00D74B2C"/>
    <w:rsid w:val="00D772E7"/>
    <w:rsid w:val="00D873DF"/>
    <w:rsid w:val="00D95749"/>
    <w:rsid w:val="00DB2ABF"/>
    <w:rsid w:val="00DB5D5C"/>
    <w:rsid w:val="00DC02B4"/>
    <w:rsid w:val="00DF6034"/>
    <w:rsid w:val="00E04D1D"/>
    <w:rsid w:val="00E227D1"/>
    <w:rsid w:val="00E45E88"/>
    <w:rsid w:val="00E92CC5"/>
    <w:rsid w:val="00EC5B98"/>
    <w:rsid w:val="00ED0951"/>
    <w:rsid w:val="00ED710C"/>
    <w:rsid w:val="00EF76CB"/>
    <w:rsid w:val="00F21B0B"/>
    <w:rsid w:val="00F320BD"/>
    <w:rsid w:val="00F35A78"/>
    <w:rsid w:val="00F54979"/>
    <w:rsid w:val="00F639C8"/>
    <w:rsid w:val="00F65F88"/>
    <w:rsid w:val="00F66EDC"/>
    <w:rsid w:val="00F755B6"/>
    <w:rsid w:val="00FB2B00"/>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280836"/>
  <w15:chartTrackingRefBased/>
  <w15:docId w15:val="{BCE31491-F38B-4D5D-B2D1-91B56934A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2B130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B130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B130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B130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B130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B13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13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13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13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1302"/>
    <w:rPr>
      <w:rFonts w:asciiTheme="majorHAnsi" w:eastAsiaTheme="majorEastAsia" w:hAnsiTheme="majorHAnsi" w:cstheme="majorBidi"/>
      <w:color w:val="2F5496" w:themeColor="accent1" w:themeShade="BF"/>
      <w:sz w:val="40"/>
      <w:szCs w:val="40"/>
      <w:lang w:val="en-GB"/>
    </w:rPr>
  </w:style>
  <w:style w:type="character" w:customStyle="1" w:styleId="Heading2Char">
    <w:name w:val="Heading 2 Char"/>
    <w:basedOn w:val="DefaultParagraphFont"/>
    <w:link w:val="Heading2"/>
    <w:uiPriority w:val="9"/>
    <w:semiHidden/>
    <w:rsid w:val="002B1302"/>
    <w:rPr>
      <w:rFonts w:asciiTheme="majorHAnsi" w:eastAsiaTheme="majorEastAsia" w:hAnsiTheme="majorHAnsi" w:cstheme="majorBidi"/>
      <w:color w:val="2F5496" w:themeColor="accent1" w:themeShade="BF"/>
      <w:sz w:val="32"/>
      <w:szCs w:val="32"/>
      <w:lang w:val="en-GB"/>
    </w:rPr>
  </w:style>
  <w:style w:type="character" w:customStyle="1" w:styleId="Heading3Char">
    <w:name w:val="Heading 3 Char"/>
    <w:basedOn w:val="DefaultParagraphFont"/>
    <w:link w:val="Heading3"/>
    <w:uiPriority w:val="9"/>
    <w:semiHidden/>
    <w:rsid w:val="002B1302"/>
    <w:rPr>
      <w:rFonts w:eastAsiaTheme="majorEastAsia" w:cstheme="majorBidi"/>
      <w:color w:val="2F5496" w:themeColor="accent1" w:themeShade="BF"/>
      <w:sz w:val="28"/>
      <w:szCs w:val="28"/>
      <w:lang w:val="en-GB"/>
    </w:rPr>
  </w:style>
  <w:style w:type="character" w:customStyle="1" w:styleId="Heading4Char">
    <w:name w:val="Heading 4 Char"/>
    <w:basedOn w:val="DefaultParagraphFont"/>
    <w:link w:val="Heading4"/>
    <w:uiPriority w:val="9"/>
    <w:semiHidden/>
    <w:rsid w:val="002B1302"/>
    <w:rPr>
      <w:rFonts w:eastAsiaTheme="majorEastAsia" w:cstheme="majorBidi"/>
      <w:i/>
      <w:iCs/>
      <w:color w:val="2F5496" w:themeColor="accent1" w:themeShade="BF"/>
      <w:lang w:val="en-GB"/>
    </w:rPr>
  </w:style>
  <w:style w:type="character" w:customStyle="1" w:styleId="Heading5Char">
    <w:name w:val="Heading 5 Char"/>
    <w:basedOn w:val="DefaultParagraphFont"/>
    <w:link w:val="Heading5"/>
    <w:uiPriority w:val="9"/>
    <w:semiHidden/>
    <w:rsid w:val="002B1302"/>
    <w:rPr>
      <w:rFonts w:eastAsiaTheme="majorEastAsia" w:cstheme="majorBidi"/>
      <w:color w:val="2F5496" w:themeColor="accent1" w:themeShade="BF"/>
      <w:lang w:val="en-GB"/>
    </w:rPr>
  </w:style>
  <w:style w:type="character" w:customStyle="1" w:styleId="Heading6Char">
    <w:name w:val="Heading 6 Char"/>
    <w:basedOn w:val="DefaultParagraphFont"/>
    <w:link w:val="Heading6"/>
    <w:uiPriority w:val="9"/>
    <w:semiHidden/>
    <w:rsid w:val="002B1302"/>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2B1302"/>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2B1302"/>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2B1302"/>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2B13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1302"/>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2B13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1302"/>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2B1302"/>
    <w:pPr>
      <w:spacing w:before="160"/>
      <w:jc w:val="center"/>
    </w:pPr>
    <w:rPr>
      <w:i/>
      <w:iCs/>
      <w:color w:val="404040" w:themeColor="text1" w:themeTint="BF"/>
    </w:rPr>
  </w:style>
  <w:style w:type="character" w:customStyle="1" w:styleId="QuoteChar">
    <w:name w:val="Quote Char"/>
    <w:basedOn w:val="DefaultParagraphFont"/>
    <w:link w:val="Quote"/>
    <w:uiPriority w:val="29"/>
    <w:rsid w:val="002B1302"/>
    <w:rPr>
      <w:i/>
      <w:iCs/>
      <w:color w:val="404040" w:themeColor="text1" w:themeTint="BF"/>
      <w:lang w:val="en-GB"/>
    </w:rPr>
  </w:style>
  <w:style w:type="paragraph" w:styleId="ListParagraph">
    <w:name w:val="List Paragraph"/>
    <w:aliases w:val="Bullets,LIST OF TABLES.,List Paragraph1,4 Bullet,Bullet 4,Integrate List,MCHIP_list paragraph,Recommendation,Bullet List,FooterText,Heading3,List Paragraph (numbered (a)),Numbered List Paragraph,Scriptoria bullet points,References,Graphic"/>
    <w:basedOn w:val="Normal"/>
    <w:link w:val="ListParagraphChar"/>
    <w:uiPriority w:val="34"/>
    <w:qFormat/>
    <w:rsid w:val="002B1302"/>
    <w:pPr>
      <w:ind w:left="720"/>
      <w:contextualSpacing/>
    </w:pPr>
  </w:style>
  <w:style w:type="character" w:styleId="IntenseEmphasis">
    <w:name w:val="Intense Emphasis"/>
    <w:basedOn w:val="DefaultParagraphFont"/>
    <w:uiPriority w:val="21"/>
    <w:qFormat/>
    <w:rsid w:val="002B1302"/>
    <w:rPr>
      <w:i/>
      <w:iCs/>
      <w:color w:val="2F5496" w:themeColor="accent1" w:themeShade="BF"/>
    </w:rPr>
  </w:style>
  <w:style w:type="paragraph" w:styleId="IntenseQuote">
    <w:name w:val="Intense Quote"/>
    <w:basedOn w:val="Normal"/>
    <w:next w:val="Normal"/>
    <w:link w:val="IntenseQuoteChar"/>
    <w:uiPriority w:val="30"/>
    <w:qFormat/>
    <w:rsid w:val="002B130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B1302"/>
    <w:rPr>
      <w:i/>
      <w:iCs/>
      <w:color w:val="2F5496" w:themeColor="accent1" w:themeShade="BF"/>
      <w:lang w:val="en-GB"/>
    </w:rPr>
  </w:style>
  <w:style w:type="character" w:styleId="IntenseReference">
    <w:name w:val="Intense Reference"/>
    <w:basedOn w:val="DefaultParagraphFont"/>
    <w:uiPriority w:val="32"/>
    <w:qFormat/>
    <w:rsid w:val="002B1302"/>
    <w:rPr>
      <w:b/>
      <w:bCs/>
      <w:smallCaps/>
      <w:color w:val="2F5496" w:themeColor="accent1" w:themeShade="BF"/>
      <w:spacing w:val="5"/>
    </w:rPr>
  </w:style>
  <w:style w:type="character" w:customStyle="1" w:styleId="ListParagraphChar">
    <w:name w:val="List Paragraph Char"/>
    <w:aliases w:val="Bullets Char,LIST OF TABLES. Char,List Paragraph1 Char,4 Bullet Char,Bullet 4 Char,Integrate List Char,MCHIP_list paragraph Char,Recommendation Char,Bullet List Char,FooterText Char,Heading3 Char,List Paragraph (numbered (a)) Char"/>
    <w:link w:val="ListParagraph"/>
    <w:uiPriority w:val="34"/>
    <w:qFormat/>
    <w:rsid w:val="00556BEA"/>
    <w:rPr>
      <w:lang w:val="en-GB"/>
    </w:rPr>
  </w:style>
  <w:style w:type="paragraph" w:styleId="Revision">
    <w:name w:val="Revision"/>
    <w:hidden/>
    <w:uiPriority w:val="99"/>
    <w:semiHidden/>
    <w:rsid w:val="0024513E"/>
    <w:pPr>
      <w:spacing w:after="0" w:line="240" w:lineRule="auto"/>
    </w:pPr>
    <w:rPr>
      <w:lang w:val="en-GB"/>
    </w:rPr>
  </w:style>
  <w:style w:type="character" w:styleId="CommentReference">
    <w:name w:val="annotation reference"/>
    <w:basedOn w:val="DefaultParagraphFont"/>
    <w:uiPriority w:val="99"/>
    <w:semiHidden/>
    <w:unhideWhenUsed/>
    <w:rsid w:val="0024513E"/>
    <w:rPr>
      <w:sz w:val="16"/>
      <w:szCs w:val="16"/>
    </w:rPr>
  </w:style>
  <w:style w:type="paragraph" w:styleId="CommentText">
    <w:name w:val="annotation text"/>
    <w:basedOn w:val="Normal"/>
    <w:link w:val="CommentTextChar"/>
    <w:uiPriority w:val="99"/>
    <w:unhideWhenUsed/>
    <w:rsid w:val="0024513E"/>
    <w:pPr>
      <w:spacing w:line="240" w:lineRule="auto"/>
    </w:pPr>
    <w:rPr>
      <w:sz w:val="20"/>
      <w:szCs w:val="20"/>
    </w:rPr>
  </w:style>
  <w:style w:type="character" w:customStyle="1" w:styleId="CommentTextChar">
    <w:name w:val="Comment Text Char"/>
    <w:basedOn w:val="DefaultParagraphFont"/>
    <w:link w:val="CommentText"/>
    <w:uiPriority w:val="99"/>
    <w:rsid w:val="0024513E"/>
    <w:rPr>
      <w:sz w:val="20"/>
      <w:szCs w:val="20"/>
      <w:lang w:val="en-GB"/>
    </w:rPr>
  </w:style>
  <w:style w:type="paragraph" w:styleId="CommentSubject">
    <w:name w:val="annotation subject"/>
    <w:basedOn w:val="CommentText"/>
    <w:next w:val="CommentText"/>
    <w:link w:val="CommentSubjectChar"/>
    <w:uiPriority w:val="99"/>
    <w:semiHidden/>
    <w:unhideWhenUsed/>
    <w:rsid w:val="0024513E"/>
    <w:rPr>
      <w:b/>
      <w:bCs/>
    </w:rPr>
  </w:style>
  <w:style w:type="character" w:customStyle="1" w:styleId="CommentSubjectChar">
    <w:name w:val="Comment Subject Char"/>
    <w:basedOn w:val="CommentTextChar"/>
    <w:link w:val="CommentSubject"/>
    <w:uiPriority w:val="99"/>
    <w:semiHidden/>
    <w:rsid w:val="0024513E"/>
    <w:rPr>
      <w:b/>
      <w:bCs/>
      <w:sz w:val="20"/>
      <w:szCs w:val="20"/>
      <w:lang w:val="en-GB"/>
    </w:rPr>
  </w:style>
  <w:style w:type="paragraph" w:styleId="NormalWeb">
    <w:name w:val="Normal (Web)"/>
    <w:basedOn w:val="Normal"/>
    <w:uiPriority w:val="99"/>
    <w:unhideWhenUsed/>
    <w:rsid w:val="00F5497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54979"/>
    <w:rPr>
      <w:b/>
      <w:bCs/>
    </w:rPr>
  </w:style>
  <w:style w:type="paragraph" w:styleId="Header">
    <w:name w:val="header"/>
    <w:basedOn w:val="Normal"/>
    <w:link w:val="HeaderChar"/>
    <w:uiPriority w:val="99"/>
    <w:unhideWhenUsed/>
    <w:rsid w:val="005F597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597F"/>
    <w:rPr>
      <w:lang w:val="en-GB"/>
    </w:rPr>
  </w:style>
  <w:style w:type="paragraph" w:styleId="Footer">
    <w:name w:val="footer"/>
    <w:basedOn w:val="Normal"/>
    <w:link w:val="FooterChar"/>
    <w:uiPriority w:val="99"/>
    <w:unhideWhenUsed/>
    <w:rsid w:val="005F597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597F"/>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fsa@afsafrica.org"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5</Pages>
  <Words>1581</Words>
  <Characters>10075</Characters>
  <Application>Microsoft Office Word</Application>
  <DocSecurity>0</DocSecurity>
  <Lines>165</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11571</CharactersWithSpaces>
  <SharedDoc>false</SharedDoc>
  <HyperlinksChanged>false</HyperlinksChanged>
  <AppVersion>16.0000</AppVersion>
</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Abbot Ntwali</dc:creator>
  <keywords>, docId:6806E6A9D1D136A3BC6A0558D4A14845</keywords>
  <dc:description/>
  <lastModifiedBy>Abbot Ntwali</lastModifiedBy>
  <revision>39</revision>
  <dcterms:created xsi:type="dcterms:W3CDTF">2025-08-14T08:43:00.0000000Z</dcterms:created>
  <dcterms:modified xsi:type="dcterms:W3CDTF">2025-08-14T14:19:00.0000000Z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42d34099-f561-40a1-8e60-9201685709e8</vt:lpwstr>
  </property>
</Properties>
</file>