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jc w:val="center"/>
        <w:rPr>
          <w:rFonts w:ascii="Calibri" w:hAnsi="Calibri" w:eastAsia="Calibri" w:cs="Calibri"/>
          <w:b/>
          <w:bCs/>
          <w:color w:val="981D4F"/>
          <w:sz w:val="24"/>
          <w:szCs w:val="24"/>
        </w:rPr>
      </w:pPr>
      <w:r>
        <w:rPr>
          <w:rFonts w:ascii="Calibri" w:hAnsi="Calibri" w:eastAsia="Calibri" w:cs="Calibri"/>
          <w:b/>
          <w:bCs/>
          <w:color w:val="981D4F"/>
          <w:sz w:val="24"/>
          <w:szCs w:val="24"/>
          <w:rtl w:val="0"/>
        </w:rPr>
        <w:t>CALL FOR EXPRESSIONS OF INTEREST (EOI)</w:t>
      </w:r>
    </w:p>
    <w:p w14:paraId="00000002">
      <w:pPr>
        <w:pStyle w:val="4"/>
        <w:keepNext w:val="0"/>
        <w:keepLines w:val="0"/>
        <w:spacing w:before="280"/>
        <w:jc w:val="center"/>
        <w:rPr>
          <w:rFonts w:ascii="Calibri" w:hAnsi="Calibri" w:eastAsia="Calibri" w:cs="Calibri"/>
          <w:b/>
          <w:bCs/>
          <w:color w:val="981D4F"/>
          <w:sz w:val="24"/>
          <w:szCs w:val="24"/>
        </w:rPr>
      </w:pPr>
      <w:bookmarkStart w:id="0" w:name="_ml02atf9cgrn" w:colFirst="0" w:colLast="0"/>
      <w:bookmarkEnd w:id="0"/>
      <w:r>
        <w:rPr>
          <w:rFonts w:ascii="Calibri" w:hAnsi="Calibri" w:eastAsia="Calibri" w:cs="Calibri"/>
          <w:b/>
          <w:bCs/>
          <w:color w:val="981D4F"/>
          <w:sz w:val="24"/>
          <w:szCs w:val="24"/>
          <w:rtl w:val="0"/>
        </w:rPr>
        <w:t>Consultancy Services: Baseline Evaluation for Strengthening Agroecology-Based School &amp; College Meal Systems in East and Southern Africa Project</w:t>
      </w:r>
    </w:p>
    <w:p w14:paraId="00000003">
      <w:pPr>
        <w:pStyle w:val="4"/>
        <w:keepNext w:val="0"/>
        <w:keepLines w:val="0"/>
        <w:spacing w:before="280"/>
        <w:rPr>
          <w:rFonts w:ascii="Calibri" w:hAnsi="Calibri" w:eastAsia="Calibri" w:cs="Calibri"/>
          <w:b/>
          <w:bCs/>
          <w:color w:val="981D4F"/>
          <w:sz w:val="24"/>
          <w:szCs w:val="24"/>
        </w:rPr>
      </w:pPr>
      <w:bookmarkStart w:id="1" w:name="_d01jqi8rbmeh" w:colFirst="0" w:colLast="0"/>
      <w:bookmarkEnd w:id="1"/>
      <w:r>
        <w:rPr>
          <w:rFonts w:ascii="Calibri" w:hAnsi="Calibri" w:eastAsia="Calibri" w:cs="Calibri"/>
          <w:b/>
          <w:bCs/>
          <w:color w:val="981D4F"/>
          <w:sz w:val="24"/>
          <w:szCs w:val="24"/>
          <w:rtl w:val="0"/>
        </w:rPr>
        <w:t>1. Introduction</w:t>
      </w:r>
    </w:p>
    <w:p w14:paraId="00000004">
      <w:pPr>
        <w:pStyle w:val="4"/>
        <w:keepNext w:val="0"/>
        <w:keepLines w:val="0"/>
        <w:numPr>
          <w:ilvl w:val="0"/>
          <w:numId w:val="1"/>
        </w:numPr>
        <w:spacing w:before="280"/>
        <w:ind w:left="720" w:hanging="360"/>
        <w:rPr>
          <w:rFonts w:ascii="Calibri" w:hAnsi="Calibri" w:eastAsia="Calibri" w:cs="Calibri"/>
          <w:b/>
          <w:bCs/>
          <w:color w:val="000000"/>
          <w:sz w:val="20"/>
          <w:szCs w:val="20"/>
          <w:u w:val="none"/>
        </w:rPr>
      </w:pPr>
      <w:bookmarkStart w:id="2" w:name="_erz208pksd6e" w:colFirst="0" w:colLast="0"/>
      <w:bookmarkEnd w:id="2"/>
      <w:r>
        <w:rPr>
          <w:rFonts w:ascii="Calibri" w:hAnsi="Calibri" w:eastAsia="Calibri" w:cs="Calibri"/>
          <w:b/>
          <w:bCs/>
          <w:color w:val="000000"/>
          <w:sz w:val="20"/>
          <w:szCs w:val="20"/>
          <w:rtl w:val="0"/>
        </w:rPr>
        <w:t>Procuring Entity</w:t>
      </w:r>
    </w:p>
    <w:p w14:paraId="00000006">
      <w:pPr>
        <w:spacing w:before="240" w:after="240"/>
        <w:jc w:val="both"/>
        <w:rPr>
          <w:rFonts w:ascii="Calibri" w:hAnsi="Calibri" w:eastAsia="Calibri" w:cs="Calibri"/>
          <w:sz w:val="20"/>
          <w:szCs w:val="20"/>
        </w:rPr>
      </w:pPr>
      <w:bookmarkStart w:id="3" w:name="_z9c3qszesmv2" w:colFirst="0" w:colLast="0"/>
      <w:bookmarkEnd w:id="3"/>
      <w:bookmarkStart w:id="21" w:name="_GoBack"/>
      <w:bookmarkEnd w:id="21"/>
      <w:r>
        <w:rPr>
          <w:rFonts w:ascii="Calibri" w:hAnsi="Calibri" w:eastAsia="Calibri" w:cs="Calibri"/>
          <w:sz w:val="20"/>
          <w:szCs w:val="20"/>
          <w:rtl w:val="0"/>
        </w:rPr>
        <w:t xml:space="preserve">The </w:t>
      </w:r>
      <w:r>
        <w:fldChar w:fldCharType="begin"/>
      </w:r>
      <w:r>
        <w:instrText xml:space="preserve"> HYPERLINK "https://afsafrica.org/" \h </w:instrText>
      </w:r>
      <w:r>
        <w:fldChar w:fldCharType="separate"/>
      </w:r>
      <w:r>
        <w:rPr>
          <w:rFonts w:ascii="Calibri" w:hAnsi="Calibri" w:eastAsia="Calibri" w:cs="Calibri"/>
          <w:color w:val="1155CC"/>
          <w:sz w:val="20"/>
          <w:szCs w:val="20"/>
          <w:u w:val="single"/>
          <w:rtl w:val="0"/>
        </w:rPr>
        <w:t>Alliance for Food Sovereignty in Africa</w:t>
      </w:r>
      <w:r>
        <w:rPr>
          <w:rFonts w:ascii="Calibri" w:hAnsi="Calibri" w:eastAsia="Calibri" w:cs="Calibri"/>
          <w:color w:val="1155CC"/>
          <w:sz w:val="20"/>
          <w:szCs w:val="20"/>
          <w:u w:val="single"/>
          <w:rtl w:val="0"/>
        </w:rPr>
        <w:fldChar w:fldCharType="end"/>
      </w:r>
      <w:r>
        <w:rPr>
          <w:rFonts w:ascii="Calibri" w:hAnsi="Calibri" w:eastAsia="Calibri" w:cs="Calibri"/>
          <w:sz w:val="20"/>
          <w:szCs w:val="20"/>
          <w:rtl w:val="0"/>
        </w:rPr>
        <w:t xml:space="preserve"> (AFSA) is the largest network of civil society organisations (CSOs) on the African continent, dedicated to advancing agroecology and food sovereignty across Africa. AFSA unites a rich and diverse membership, including African food producer networks, CSO networks, indigenous people's organisations, faith-based organisations, women's and youth groups, consumer movements, and international organisations,  all committed to a shared, transformative mission. With 48 member organisations operating across 50 African countries, AFSA directly influences the lives of approximately 200 million people. Through evidence-based advocacy, grassroots mobilisation, and pan-African campaigns, AFSA champions the rights of smallholder farmers, promotes biodiversity, and promotes food systems rooted in African knowledge and ecological integrity.</w:t>
      </w:r>
    </w:p>
    <w:p w14:paraId="00000007">
      <w:pPr>
        <w:spacing w:before="240" w:after="240"/>
        <w:jc w:val="both"/>
        <w:rPr>
          <w:rFonts w:ascii="Calibri" w:hAnsi="Calibri" w:eastAsia="Calibri" w:cs="Calibri"/>
          <w:i/>
          <w:iCs/>
          <w:sz w:val="20"/>
          <w:szCs w:val="20"/>
        </w:rPr>
      </w:pPr>
      <w:r>
        <w:rPr>
          <w:rFonts w:ascii="Calibri" w:hAnsi="Calibri" w:eastAsia="Calibri" w:cs="Calibri"/>
          <w:sz w:val="20"/>
          <w:szCs w:val="20"/>
          <w:rtl w:val="0"/>
        </w:rPr>
        <w:t xml:space="preserve">AFSA, in partnership with partners in Uganda, Kenya, and Malawi, is implementing a research project titled </w:t>
      </w:r>
      <w:r>
        <w:rPr>
          <w:rFonts w:ascii="Calibri" w:hAnsi="Calibri" w:eastAsia="Calibri" w:cs="Calibri"/>
          <w:i/>
          <w:iCs/>
          <w:sz w:val="20"/>
          <w:szCs w:val="20"/>
          <w:rtl w:val="0"/>
        </w:rPr>
        <w:t>“Strengthening Agroecology-Based School and College Meal Systems in East and Southern Africa."</w:t>
      </w:r>
    </w:p>
    <w:p w14:paraId="00000008">
      <w:pPr>
        <w:numPr>
          <w:ilvl w:val="0"/>
          <w:numId w:val="1"/>
        </w:numPr>
        <w:spacing w:before="240" w:after="240"/>
        <w:ind w:left="720" w:hanging="360"/>
        <w:rPr>
          <w:rFonts w:ascii="Calibri" w:hAnsi="Calibri" w:eastAsia="Calibri" w:cs="Calibri"/>
          <w:b/>
          <w:bCs/>
          <w:sz w:val="20"/>
          <w:szCs w:val="20"/>
          <w:u w:val="none"/>
        </w:rPr>
      </w:pPr>
      <w:r>
        <w:rPr>
          <w:rFonts w:ascii="Calibri" w:hAnsi="Calibri" w:eastAsia="Calibri" w:cs="Calibri"/>
          <w:b/>
          <w:bCs/>
          <w:sz w:val="20"/>
          <w:szCs w:val="20"/>
          <w:rtl w:val="0"/>
        </w:rPr>
        <w:t>Background about the project</w:t>
      </w:r>
    </w:p>
    <w:p w14:paraId="00000009">
      <w:pPr>
        <w:spacing w:before="240" w:after="240"/>
        <w:jc w:val="both"/>
        <w:rPr>
          <w:rFonts w:ascii="Calibri" w:hAnsi="Calibri" w:eastAsia="Calibri" w:cs="Calibri"/>
          <w:sz w:val="20"/>
          <w:szCs w:val="20"/>
        </w:rPr>
      </w:pPr>
      <w:r>
        <w:rPr>
          <w:rFonts w:ascii="Calibri" w:hAnsi="Calibri" w:eastAsia="Calibri" w:cs="Calibri"/>
          <w:sz w:val="20"/>
          <w:szCs w:val="20"/>
          <w:rtl w:val="0"/>
        </w:rPr>
        <w:t>School and college feeding programmes in East and Southern Africa are essential for improving nutrition, school attendance, and learning outcomes, especially for learners from low-income households. However, many feeding initiatives face persistent constraints that weaken their impact and sustainability. Common challenges include unstable food supply, high dependence on conventional markets, weak links between schools and local producers, and inconsistent financing. As a result, schools may struggle to access fresh, diverse, and nutritious foods, while local smallholder farmers, particularly women and youth, remain underutilised as reliable suppliers. Climate-related shocks and environmental degradation further affect production and supply reliability, increasing vulnerability across already fragile systems. In addition, the policy and institutional environment for school feeding and public procurement is often fragmented and not sufficiently responsive to gender equality and social inclusion, limiting community participation and equitable benefit-sharing.</w:t>
      </w:r>
    </w:p>
    <w:p w14:paraId="0000000A">
      <w:pPr>
        <w:spacing w:before="240" w:after="240"/>
        <w:jc w:val="both"/>
        <w:rPr>
          <w:rFonts w:ascii="Calibri" w:hAnsi="Calibri" w:eastAsia="Calibri" w:cs="Calibri"/>
          <w:sz w:val="20"/>
          <w:szCs w:val="20"/>
        </w:rPr>
      </w:pPr>
      <w:r>
        <w:rPr>
          <w:rFonts w:ascii="Calibri" w:hAnsi="Calibri" w:eastAsia="Calibri" w:cs="Calibri"/>
          <w:sz w:val="20"/>
          <w:szCs w:val="20"/>
          <w:rtl w:val="0"/>
        </w:rPr>
        <w:t>To respond to these gaps, AFSA, with funding from the International Development Research Centre (IDRC), is leading the Strengthening Agroecology-Based School &amp; College Meals Systems in East and Southern Africa Project. The project is implemented in Uganda, Kenya, and Malawi. The project uses a Participatory Action Research (PAR) approach and a Gender, Equality, and Social Inclusion (GESI) lens to (i) assess how existing school and college models affect socio-economic dynamics in communities; (ii) pilot and refine agroecology-based school meal models with stakeholders; and (iii) generate evidence-based recommendations for policy integration and scaling.</w:t>
      </w:r>
    </w:p>
    <w:p w14:paraId="0000000B">
      <w:pPr>
        <w:spacing w:before="240" w:after="240"/>
        <w:jc w:val="both"/>
        <w:rPr>
          <w:rFonts w:ascii="Calibri" w:hAnsi="Calibri" w:eastAsia="Calibri" w:cs="Calibri"/>
          <w:sz w:val="20"/>
          <w:szCs w:val="20"/>
        </w:rPr>
      </w:pPr>
      <w:r>
        <w:rPr>
          <w:rFonts w:ascii="Calibri" w:hAnsi="Calibri" w:eastAsia="Calibri" w:cs="Calibri"/>
          <w:sz w:val="20"/>
          <w:szCs w:val="20"/>
          <w:rtl w:val="0"/>
        </w:rPr>
        <w:t>The project is expected to contribute to stronger and more gender-responsive farmer–school linkages, improved access to safe and nutritious agroecological food for learners, increased market opportunities and incomes for smallholder farmers (especially women and youth), and a more enabling policy environment for sustainable and inclusive provision of school meals.</w:t>
      </w:r>
    </w:p>
    <w:p w14:paraId="0000000C">
      <w:pPr>
        <w:spacing w:before="240" w:after="240"/>
        <w:jc w:val="both"/>
        <w:rPr>
          <w:rFonts w:ascii="Calibri" w:hAnsi="Calibri" w:eastAsia="Calibri" w:cs="Calibri"/>
          <w:sz w:val="20"/>
          <w:szCs w:val="20"/>
        </w:rPr>
      </w:pPr>
      <w:r>
        <w:rPr>
          <w:rFonts w:ascii="Calibri" w:hAnsi="Calibri" w:eastAsia="Calibri" w:cs="Calibri"/>
          <w:sz w:val="20"/>
          <w:szCs w:val="20"/>
          <w:rtl w:val="0"/>
        </w:rPr>
        <w:t>As a first step in implementing the project, AFSA seeks to commission a baseline evaluation/survey to further inform the project's design, learning, and implementation.</w:t>
      </w:r>
    </w:p>
    <w:p w14:paraId="0000000D">
      <w:pPr>
        <w:pStyle w:val="4"/>
        <w:keepNext w:val="0"/>
        <w:keepLines w:val="0"/>
        <w:spacing w:before="280"/>
        <w:rPr>
          <w:rFonts w:ascii="Calibri" w:hAnsi="Calibri" w:eastAsia="Calibri" w:cs="Calibri"/>
          <w:b/>
          <w:bCs/>
          <w:color w:val="981D4F"/>
          <w:sz w:val="24"/>
          <w:szCs w:val="24"/>
        </w:rPr>
      </w:pPr>
      <w:bookmarkStart w:id="4" w:name="_hd7wgk15e483" w:colFirst="0" w:colLast="0"/>
      <w:bookmarkEnd w:id="4"/>
      <w:r>
        <w:rPr>
          <w:rFonts w:ascii="Calibri" w:hAnsi="Calibri" w:eastAsia="Calibri" w:cs="Calibri"/>
          <w:b/>
          <w:bCs/>
          <w:color w:val="981D4F"/>
          <w:sz w:val="24"/>
          <w:szCs w:val="24"/>
          <w:rtl w:val="0"/>
        </w:rPr>
        <w:t>2. Purpose of the Assignment</w:t>
      </w:r>
    </w:p>
    <w:p w14:paraId="0000000E">
      <w:pPr>
        <w:spacing w:before="240" w:after="240"/>
        <w:jc w:val="both"/>
        <w:rPr>
          <w:rFonts w:ascii="Calibri" w:hAnsi="Calibri" w:eastAsia="Calibri" w:cs="Calibri"/>
          <w:sz w:val="20"/>
          <w:szCs w:val="20"/>
        </w:rPr>
      </w:pPr>
      <w:r>
        <w:rPr>
          <w:rFonts w:ascii="Calibri" w:hAnsi="Calibri" w:eastAsia="Calibri" w:cs="Calibri"/>
          <w:sz w:val="20"/>
          <w:szCs w:val="20"/>
          <w:rtl w:val="0"/>
        </w:rPr>
        <w:t>The purpose of the assignment is to carry out a baseline</w:t>
      </w:r>
      <w:r>
        <w:rPr>
          <w:rFonts w:ascii="Calibri" w:hAnsi="Calibri" w:eastAsia="Calibri" w:cs="Calibri"/>
          <w:b/>
          <w:bCs/>
          <w:sz w:val="20"/>
          <w:szCs w:val="20"/>
          <w:rtl w:val="0"/>
        </w:rPr>
        <w:t xml:space="preserve"> </w:t>
      </w:r>
      <w:r>
        <w:rPr>
          <w:rFonts w:ascii="Calibri" w:hAnsi="Calibri" w:eastAsia="Calibri" w:cs="Calibri"/>
          <w:sz w:val="20"/>
          <w:szCs w:val="20"/>
          <w:rtl w:val="0"/>
        </w:rPr>
        <w:t>evaluation of existing school meal systems across selected sites in the three countries.</w:t>
      </w:r>
    </w:p>
    <w:p w14:paraId="0000000F">
      <w:pPr>
        <w:spacing w:before="240" w:after="240"/>
        <w:jc w:val="both"/>
        <w:rPr>
          <w:rFonts w:ascii="Calibri" w:hAnsi="Calibri" w:eastAsia="Calibri" w:cs="Calibri"/>
          <w:sz w:val="20"/>
          <w:szCs w:val="20"/>
        </w:rPr>
      </w:pPr>
      <w:r>
        <w:rPr>
          <w:rFonts w:ascii="Calibri" w:hAnsi="Calibri" w:eastAsia="Calibri" w:cs="Calibri"/>
          <w:sz w:val="20"/>
          <w:szCs w:val="20"/>
          <w:rtl w:val="0"/>
        </w:rPr>
        <w:t xml:space="preserve">The baseline will: a) Provide benchmark data for monitoring and evaluation; b) Identify gaps, opportunities, and contextual dynamics; c) Inform the co-design of agroecological school meal models, and d) Support future impact evaluation </w:t>
      </w:r>
    </w:p>
    <w:p w14:paraId="00000010">
      <w:pPr>
        <w:pStyle w:val="4"/>
        <w:keepNext w:val="0"/>
        <w:keepLines w:val="0"/>
        <w:spacing w:before="280"/>
        <w:rPr>
          <w:rFonts w:ascii="Calibri" w:hAnsi="Calibri" w:eastAsia="Calibri" w:cs="Calibri"/>
          <w:b/>
          <w:bCs/>
          <w:color w:val="981D4F"/>
          <w:sz w:val="24"/>
          <w:szCs w:val="24"/>
        </w:rPr>
      </w:pPr>
      <w:bookmarkStart w:id="5" w:name="_lb80rz5px4ve" w:colFirst="0" w:colLast="0"/>
      <w:bookmarkEnd w:id="5"/>
      <w:r>
        <w:rPr>
          <w:rFonts w:ascii="Calibri" w:hAnsi="Calibri" w:eastAsia="Calibri" w:cs="Calibri"/>
          <w:b/>
          <w:bCs/>
          <w:color w:val="981D4F"/>
          <w:sz w:val="24"/>
          <w:szCs w:val="24"/>
          <w:rtl w:val="0"/>
        </w:rPr>
        <w:t>3. Objectives of the Baseline Study</w:t>
      </w:r>
    </w:p>
    <w:p w14:paraId="00000011">
      <w:pPr>
        <w:pStyle w:val="5"/>
        <w:keepNext w:val="0"/>
        <w:keepLines w:val="0"/>
        <w:numPr>
          <w:ilvl w:val="0"/>
          <w:numId w:val="2"/>
        </w:numPr>
        <w:spacing w:before="240" w:after="40"/>
        <w:ind w:left="720" w:hanging="360"/>
        <w:rPr>
          <w:rFonts w:ascii="Calibri" w:hAnsi="Calibri" w:eastAsia="Calibri" w:cs="Calibri"/>
          <w:b/>
          <w:bCs/>
          <w:color w:val="000000"/>
          <w:sz w:val="20"/>
          <w:szCs w:val="20"/>
          <w:u w:val="none"/>
        </w:rPr>
      </w:pPr>
      <w:bookmarkStart w:id="6" w:name="_xccs8vapezzz" w:colFirst="0" w:colLast="0"/>
      <w:bookmarkEnd w:id="6"/>
      <w:r>
        <w:rPr>
          <w:rFonts w:ascii="Calibri" w:hAnsi="Calibri" w:eastAsia="Calibri" w:cs="Calibri"/>
          <w:b/>
          <w:bCs/>
          <w:color w:val="000000"/>
          <w:sz w:val="20"/>
          <w:szCs w:val="20"/>
          <w:rtl w:val="0"/>
        </w:rPr>
        <w:t>Overall Objective</w:t>
      </w:r>
    </w:p>
    <w:p w14:paraId="00000012">
      <w:pPr>
        <w:spacing w:before="240" w:after="240"/>
        <w:jc w:val="both"/>
        <w:rPr>
          <w:rFonts w:ascii="Calibri" w:hAnsi="Calibri" w:eastAsia="Calibri" w:cs="Calibri"/>
          <w:sz w:val="20"/>
          <w:szCs w:val="20"/>
        </w:rPr>
      </w:pPr>
      <w:r>
        <w:rPr>
          <w:rFonts w:ascii="Calibri" w:hAnsi="Calibri" w:eastAsia="Calibri" w:cs="Calibri"/>
          <w:sz w:val="20"/>
          <w:szCs w:val="20"/>
          <w:rtl w:val="0"/>
        </w:rPr>
        <w:t>To generate robust baseline data on school meal systems, agroecological food procurement, and socio-economic dynamics to guide project implementation and evaluation.</w:t>
      </w:r>
    </w:p>
    <w:p w14:paraId="00000013">
      <w:pPr>
        <w:pStyle w:val="5"/>
        <w:keepNext w:val="0"/>
        <w:keepLines w:val="0"/>
        <w:numPr>
          <w:ilvl w:val="0"/>
          <w:numId w:val="2"/>
        </w:numPr>
        <w:spacing w:before="240" w:after="40"/>
        <w:ind w:left="720" w:hanging="360"/>
        <w:rPr>
          <w:rFonts w:ascii="Calibri" w:hAnsi="Calibri" w:eastAsia="Calibri" w:cs="Calibri"/>
          <w:b/>
          <w:bCs/>
          <w:color w:val="000000"/>
          <w:sz w:val="20"/>
          <w:szCs w:val="20"/>
          <w:u w:val="none"/>
        </w:rPr>
      </w:pPr>
      <w:bookmarkStart w:id="7" w:name="_fensdt8ftfs7" w:colFirst="0" w:colLast="0"/>
      <w:bookmarkEnd w:id="7"/>
      <w:r>
        <w:rPr>
          <w:rFonts w:ascii="Calibri" w:hAnsi="Calibri" w:eastAsia="Calibri" w:cs="Calibri"/>
          <w:b/>
          <w:bCs/>
          <w:color w:val="000000"/>
          <w:sz w:val="20"/>
          <w:szCs w:val="20"/>
          <w:rtl w:val="0"/>
        </w:rPr>
        <w:t>Specific Objectives</w:t>
      </w:r>
    </w:p>
    <w:p w14:paraId="00000014">
      <w:pPr>
        <w:spacing w:before="240" w:after="240"/>
        <w:rPr>
          <w:rFonts w:ascii="Calibri" w:hAnsi="Calibri" w:eastAsia="Calibri" w:cs="Calibri"/>
          <w:sz w:val="20"/>
          <w:szCs w:val="20"/>
        </w:rPr>
      </w:pPr>
      <w:r>
        <w:rPr>
          <w:rFonts w:ascii="Calibri" w:hAnsi="Calibri" w:eastAsia="Calibri" w:cs="Calibri"/>
          <w:sz w:val="20"/>
          <w:szCs w:val="20"/>
          <w:rtl w:val="0"/>
        </w:rPr>
        <w:t>The consultant/team will:</w:t>
      </w:r>
    </w:p>
    <w:p w14:paraId="00000015">
      <w:pPr>
        <w:numPr>
          <w:ilvl w:val="0"/>
          <w:numId w:val="3"/>
        </w:numPr>
        <w:spacing w:before="240" w:after="0" w:afterAutospacing="0"/>
        <w:ind w:left="720" w:hanging="360"/>
        <w:rPr>
          <w:sz w:val="20"/>
          <w:szCs w:val="20"/>
        </w:rPr>
      </w:pPr>
      <w:r>
        <w:rPr>
          <w:rFonts w:ascii="Calibri" w:hAnsi="Calibri" w:eastAsia="Calibri" w:cs="Calibri"/>
          <w:sz w:val="20"/>
          <w:szCs w:val="20"/>
          <w:rtl w:val="0"/>
        </w:rPr>
        <w:t>Assess existing school meal systems and food provision models</w:t>
      </w:r>
    </w:p>
    <w:p w14:paraId="00000016">
      <w:pPr>
        <w:numPr>
          <w:ilvl w:val="0"/>
          <w:numId w:val="3"/>
        </w:numPr>
        <w:spacing w:before="0" w:beforeAutospacing="0" w:after="0" w:afterAutospacing="0"/>
        <w:ind w:left="720" w:hanging="360"/>
        <w:rPr>
          <w:sz w:val="20"/>
          <w:szCs w:val="20"/>
        </w:rPr>
      </w:pPr>
      <w:r>
        <w:rPr>
          <w:rFonts w:ascii="Calibri" w:hAnsi="Calibri" w:eastAsia="Calibri" w:cs="Calibri"/>
          <w:sz w:val="20"/>
          <w:szCs w:val="20"/>
          <w:rtl w:val="0"/>
        </w:rPr>
        <w:t>Analyze food sourcing systems and supply chains</w:t>
      </w:r>
    </w:p>
    <w:p w14:paraId="00000017">
      <w:pPr>
        <w:numPr>
          <w:ilvl w:val="0"/>
          <w:numId w:val="3"/>
        </w:numPr>
        <w:spacing w:before="0" w:beforeAutospacing="0" w:after="0" w:afterAutospacing="0"/>
        <w:ind w:left="720" w:hanging="360"/>
        <w:rPr>
          <w:sz w:val="20"/>
          <w:szCs w:val="20"/>
        </w:rPr>
      </w:pPr>
      <w:r>
        <w:rPr>
          <w:rFonts w:ascii="Calibri" w:hAnsi="Calibri" w:eastAsia="Calibri" w:cs="Calibri"/>
          <w:sz w:val="20"/>
          <w:szCs w:val="20"/>
          <w:rtl w:val="0"/>
        </w:rPr>
        <w:t>Evaluate farmer–school linkages for the different school meal models</w:t>
      </w:r>
    </w:p>
    <w:p w14:paraId="00000018">
      <w:pPr>
        <w:numPr>
          <w:ilvl w:val="0"/>
          <w:numId w:val="3"/>
        </w:numPr>
        <w:spacing w:before="0" w:beforeAutospacing="0" w:after="0" w:afterAutospacing="0"/>
        <w:ind w:left="720" w:hanging="360"/>
        <w:rPr>
          <w:sz w:val="20"/>
          <w:szCs w:val="20"/>
        </w:rPr>
      </w:pPr>
      <w:r>
        <w:rPr>
          <w:rFonts w:ascii="Calibri" w:hAnsi="Calibri" w:eastAsia="Calibri" w:cs="Calibri"/>
          <w:sz w:val="20"/>
          <w:szCs w:val="20"/>
          <w:rtl w:val="0"/>
        </w:rPr>
        <w:t>Examine gender equality and social inclusion (GESI) dimensions for each school meal model</w:t>
      </w:r>
    </w:p>
    <w:p w14:paraId="00000019">
      <w:pPr>
        <w:numPr>
          <w:ilvl w:val="0"/>
          <w:numId w:val="3"/>
        </w:numPr>
        <w:spacing w:before="0" w:beforeAutospacing="0" w:after="0" w:afterAutospacing="0"/>
        <w:ind w:left="720" w:hanging="360"/>
        <w:rPr>
          <w:sz w:val="20"/>
          <w:szCs w:val="20"/>
        </w:rPr>
      </w:pPr>
      <w:r>
        <w:rPr>
          <w:rFonts w:ascii="Calibri" w:hAnsi="Calibri" w:eastAsia="Calibri" w:cs="Calibri"/>
          <w:sz w:val="20"/>
          <w:szCs w:val="20"/>
          <w:rtl w:val="0"/>
        </w:rPr>
        <w:t>Assess economic opportunities and constraints for smallholder farmers, especially women and youth</w:t>
      </w:r>
    </w:p>
    <w:p w14:paraId="0000001A">
      <w:pPr>
        <w:numPr>
          <w:ilvl w:val="0"/>
          <w:numId w:val="3"/>
        </w:numPr>
        <w:spacing w:before="0" w:beforeAutospacing="0" w:after="0" w:afterAutospacing="0"/>
        <w:ind w:left="720" w:hanging="360"/>
        <w:rPr>
          <w:sz w:val="20"/>
          <w:szCs w:val="20"/>
        </w:rPr>
      </w:pPr>
      <w:r>
        <w:rPr>
          <w:rFonts w:ascii="Calibri" w:hAnsi="Calibri" w:eastAsia="Calibri" w:cs="Calibri"/>
          <w:sz w:val="20"/>
          <w:szCs w:val="20"/>
          <w:rtl w:val="0"/>
        </w:rPr>
        <w:t>Review policy, institutional, and governance frameworks linked to school meals</w:t>
      </w:r>
    </w:p>
    <w:p w14:paraId="0000001B">
      <w:pPr>
        <w:numPr>
          <w:ilvl w:val="0"/>
          <w:numId w:val="3"/>
        </w:numPr>
        <w:spacing w:before="0" w:beforeAutospacing="0" w:after="240"/>
        <w:ind w:left="720" w:hanging="360"/>
        <w:rPr>
          <w:sz w:val="20"/>
          <w:szCs w:val="20"/>
        </w:rPr>
      </w:pPr>
      <w:r>
        <w:rPr>
          <w:rFonts w:ascii="Calibri" w:hAnsi="Calibri" w:eastAsia="Calibri" w:cs="Calibri"/>
          <w:sz w:val="20"/>
          <w:szCs w:val="20"/>
          <w:rtl w:val="0"/>
        </w:rPr>
        <w:t>Develop baseline indicators aligned with the project MEAL framework</w:t>
      </w:r>
    </w:p>
    <w:p w14:paraId="0000001C">
      <w:pPr>
        <w:pStyle w:val="4"/>
        <w:keepNext w:val="0"/>
        <w:keepLines w:val="0"/>
        <w:spacing w:before="280"/>
        <w:rPr>
          <w:rFonts w:ascii="Calibri" w:hAnsi="Calibri" w:eastAsia="Calibri" w:cs="Calibri"/>
          <w:b/>
          <w:bCs/>
          <w:color w:val="981D4F"/>
          <w:sz w:val="24"/>
          <w:szCs w:val="24"/>
        </w:rPr>
      </w:pPr>
      <w:bookmarkStart w:id="8" w:name="_bk8nv7ir72lc" w:colFirst="0" w:colLast="0"/>
      <w:bookmarkEnd w:id="8"/>
      <w:r>
        <w:rPr>
          <w:rFonts w:ascii="Calibri" w:hAnsi="Calibri" w:eastAsia="Calibri" w:cs="Calibri"/>
          <w:b/>
          <w:bCs/>
          <w:color w:val="981D4F"/>
          <w:sz w:val="24"/>
          <w:szCs w:val="24"/>
          <w:rtl w:val="0"/>
        </w:rPr>
        <w:t>4. Scope of Work</w:t>
      </w:r>
    </w:p>
    <w:p w14:paraId="0000001E">
      <w:pPr>
        <w:spacing w:before="240" w:after="240"/>
        <w:rPr>
          <w:rFonts w:ascii="Calibri" w:hAnsi="Calibri" w:eastAsia="Calibri" w:cs="Calibri"/>
          <w:sz w:val="20"/>
          <w:szCs w:val="20"/>
        </w:rPr>
      </w:pPr>
      <w:r>
        <w:rPr>
          <w:rFonts w:ascii="Calibri" w:hAnsi="Calibri" w:eastAsia="Calibri" w:cs="Calibri"/>
          <w:sz w:val="20"/>
          <w:szCs w:val="20"/>
          <w:rtl w:val="0"/>
        </w:rPr>
        <w:t>The baseline will cover selected study sites across Uganda, Kenya, and Malawi, representing different school feeding models</w:t>
      </w:r>
      <w:r>
        <w:rPr>
          <w:rFonts w:hint="default" w:ascii="Calibri" w:hAnsi="Calibri" w:eastAsia="Calibri" w:cs="Calibri"/>
          <w:sz w:val="20"/>
          <w:szCs w:val="20"/>
          <w:rtl w:val="0"/>
          <w:lang w:val="en-US"/>
        </w:rPr>
        <w:t xml:space="preserve">. </w:t>
      </w:r>
      <w:r>
        <w:rPr>
          <w:rFonts w:ascii="Calibri" w:hAnsi="Calibri" w:eastAsia="Calibri" w:cs="Calibri"/>
          <w:sz w:val="20"/>
          <w:szCs w:val="20"/>
          <w:rtl w:val="0"/>
        </w:rPr>
        <w:t>Key tasks include: a) Conduct an inception phase (methodology refinement, stakeholder consultations); b) Undertake a comprehensive literature and policy review; c) Design and validate data collection tools; d) Conduct field data collection; e) Perform data analysis (quantitative and qualitative); f) Facilitate stakeholder validation workshops; and g) Produce a comprehensive baseline report</w:t>
      </w:r>
    </w:p>
    <w:p w14:paraId="0000001F">
      <w:pPr>
        <w:pStyle w:val="5"/>
        <w:keepNext w:val="0"/>
        <w:keepLines w:val="0"/>
        <w:spacing w:before="240" w:after="40"/>
        <w:rPr>
          <w:rFonts w:ascii="Calibri" w:hAnsi="Calibri" w:eastAsia="Calibri" w:cs="Calibri"/>
          <w:b/>
          <w:bCs/>
          <w:color w:val="981D4F"/>
        </w:rPr>
      </w:pPr>
      <w:bookmarkStart w:id="9" w:name="_oukuqltkk4di" w:colFirst="0" w:colLast="0"/>
      <w:bookmarkEnd w:id="9"/>
      <w:r>
        <w:rPr>
          <w:rFonts w:ascii="Calibri" w:hAnsi="Calibri" w:eastAsia="Calibri" w:cs="Calibri"/>
          <w:b/>
          <w:bCs/>
          <w:color w:val="981D4F"/>
          <w:rtl w:val="0"/>
        </w:rPr>
        <w:t>5. Methodology</w:t>
      </w:r>
    </w:p>
    <w:p w14:paraId="00000020">
      <w:pPr>
        <w:spacing w:before="240" w:after="240"/>
        <w:jc w:val="both"/>
        <w:rPr>
          <w:rFonts w:hint="default" w:ascii="Calibri" w:hAnsi="Calibri" w:eastAsia="Calibri" w:cs="Calibri"/>
          <w:sz w:val="20"/>
          <w:szCs w:val="20"/>
          <w:lang w:val="en-US"/>
        </w:rPr>
      </w:pPr>
      <w:r>
        <w:rPr>
          <w:rFonts w:ascii="Calibri" w:hAnsi="Calibri" w:eastAsia="Calibri" w:cs="Calibri"/>
          <w:sz w:val="20"/>
          <w:szCs w:val="20"/>
          <w:rtl w:val="0"/>
        </w:rPr>
        <w:t>The consultant/team is expected to propose a rigorous methodology, including study design</w:t>
      </w:r>
      <w:r>
        <w:rPr>
          <w:rFonts w:hint="default" w:ascii="Calibri" w:hAnsi="Calibri" w:eastAsia="Calibri" w:cs="Calibri"/>
          <w:sz w:val="20"/>
          <w:szCs w:val="20"/>
          <w:rtl w:val="0"/>
          <w:lang w:val="en-US"/>
        </w:rPr>
        <w:t>,</w:t>
      </w:r>
      <w:r>
        <w:rPr>
          <w:rFonts w:ascii="Calibri" w:hAnsi="Calibri" w:eastAsia="Calibri" w:cs="Calibri"/>
          <w:sz w:val="20"/>
          <w:szCs w:val="20"/>
          <w:rtl w:val="0"/>
        </w:rPr>
        <w:t xml:space="preserve"> data collection methods</w:t>
      </w:r>
      <w:r>
        <w:rPr>
          <w:rFonts w:hint="default" w:ascii="Calibri" w:hAnsi="Calibri" w:eastAsia="Calibri" w:cs="Calibri"/>
          <w:sz w:val="20"/>
          <w:szCs w:val="20"/>
          <w:rtl w:val="0"/>
          <w:lang w:val="en-US"/>
        </w:rPr>
        <w:t xml:space="preserve"> </w:t>
      </w:r>
      <w:r>
        <w:rPr>
          <w:rFonts w:ascii="Calibri" w:hAnsi="Calibri" w:eastAsia="Calibri" w:cs="Calibri"/>
          <w:sz w:val="20"/>
          <w:szCs w:val="20"/>
          <w:rtl w:val="0"/>
        </w:rPr>
        <w:t>and data analysis. The methodology proposed should allow for future impact evaluation approaches</w:t>
      </w:r>
      <w:r>
        <w:rPr>
          <w:rFonts w:hint="default" w:ascii="Calibri" w:hAnsi="Calibri" w:eastAsia="Calibri" w:cs="Calibri"/>
          <w:sz w:val="20"/>
          <w:szCs w:val="20"/>
          <w:rtl w:val="0"/>
          <w:lang w:val="en-US"/>
        </w:rPr>
        <w:t>.</w:t>
      </w:r>
    </w:p>
    <w:p w14:paraId="00000021">
      <w:pPr>
        <w:pStyle w:val="4"/>
        <w:keepNext w:val="0"/>
        <w:keepLines w:val="0"/>
        <w:spacing w:before="280"/>
        <w:rPr>
          <w:rFonts w:ascii="Calibri" w:hAnsi="Calibri" w:eastAsia="Calibri" w:cs="Calibri"/>
          <w:b/>
          <w:bCs/>
          <w:color w:val="981D4F"/>
          <w:sz w:val="24"/>
          <w:szCs w:val="24"/>
        </w:rPr>
      </w:pPr>
      <w:bookmarkStart w:id="10" w:name="_5ujk5bd6aqi" w:colFirst="0" w:colLast="0"/>
      <w:bookmarkEnd w:id="10"/>
      <w:r>
        <w:rPr>
          <w:rFonts w:ascii="Calibri" w:hAnsi="Calibri" w:eastAsia="Calibri" w:cs="Calibri"/>
          <w:b/>
          <w:bCs/>
          <w:color w:val="981D4F"/>
          <w:sz w:val="24"/>
          <w:szCs w:val="24"/>
          <w:rtl w:val="0"/>
        </w:rPr>
        <w:t>6. Key Deliverables</w:t>
      </w:r>
    </w:p>
    <w:p w14:paraId="00000022">
      <w:pPr>
        <w:spacing w:before="240" w:after="240"/>
        <w:rPr>
          <w:rFonts w:ascii="Calibri" w:hAnsi="Calibri" w:eastAsia="Calibri" w:cs="Calibri"/>
          <w:sz w:val="20"/>
          <w:szCs w:val="20"/>
        </w:rPr>
      </w:pPr>
      <w:r>
        <w:rPr>
          <w:rFonts w:ascii="Calibri" w:hAnsi="Calibri" w:eastAsia="Calibri" w:cs="Calibri"/>
          <w:sz w:val="20"/>
          <w:szCs w:val="20"/>
          <w:rtl w:val="0"/>
        </w:rPr>
        <w:t>The consultant/team will deliver, among others: a) Inception Report (methodology, tools, and work plan); b) Data Collection Tools and protocols; c) Clean and documented datasets; d) Draft Baseline Report, e) Validated Final Baseline Report, and f) Presentation of findings to the implementing partners in the three countries.</w:t>
      </w:r>
    </w:p>
    <w:p w14:paraId="00000023">
      <w:pPr>
        <w:pStyle w:val="4"/>
        <w:keepNext w:val="0"/>
        <w:keepLines w:val="0"/>
        <w:spacing w:before="280"/>
        <w:rPr>
          <w:rFonts w:ascii="Calibri" w:hAnsi="Calibri" w:eastAsia="Calibri" w:cs="Calibri"/>
          <w:b/>
          <w:bCs/>
          <w:color w:val="981D4F"/>
          <w:sz w:val="24"/>
          <w:szCs w:val="24"/>
        </w:rPr>
      </w:pPr>
      <w:bookmarkStart w:id="11" w:name="_d9k9b0r8fkxs" w:colFirst="0" w:colLast="0"/>
      <w:bookmarkEnd w:id="11"/>
      <w:r>
        <w:rPr>
          <w:rFonts w:ascii="Calibri" w:hAnsi="Calibri" w:eastAsia="Calibri" w:cs="Calibri"/>
          <w:b/>
          <w:bCs/>
          <w:color w:val="981D4F"/>
          <w:sz w:val="24"/>
          <w:szCs w:val="24"/>
          <w:rtl w:val="0"/>
        </w:rPr>
        <w:t>7. Duration of the Assignment</w:t>
      </w:r>
    </w:p>
    <w:p w14:paraId="00000024">
      <w:pPr>
        <w:spacing w:before="240" w:after="240"/>
        <w:jc w:val="both"/>
        <w:rPr>
          <w:rFonts w:ascii="Calibri" w:hAnsi="Calibri" w:eastAsia="Calibri" w:cs="Calibri"/>
          <w:sz w:val="20"/>
          <w:szCs w:val="20"/>
        </w:rPr>
      </w:pPr>
      <w:r>
        <w:rPr>
          <w:rFonts w:ascii="Calibri" w:hAnsi="Calibri" w:eastAsia="Calibri" w:cs="Calibri"/>
          <w:sz w:val="20"/>
          <w:szCs w:val="20"/>
          <w:rtl w:val="0"/>
        </w:rPr>
        <w:t xml:space="preserve">The assignment is expected to take </w:t>
      </w:r>
      <w:r>
        <w:rPr>
          <w:rFonts w:ascii="Calibri" w:hAnsi="Calibri" w:eastAsia="Calibri" w:cs="Calibri"/>
          <w:b/>
          <w:bCs/>
          <w:sz w:val="20"/>
          <w:szCs w:val="20"/>
          <w:rtl w:val="0"/>
        </w:rPr>
        <w:t>2</w:t>
      </w:r>
      <w:r>
        <w:rPr>
          <w:rFonts w:hint="default" w:ascii="Calibri" w:hAnsi="Calibri" w:eastAsia="Calibri" w:cs="Calibri"/>
          <w:b/>
          <w:bCs/>
          <w:sz w:val="20"/>
          <w:szCs w:val="20"/>
          <w:rtl w:val="0"/>
          <w:lang w:val="en-US"/>
        </w:rPr>
        <w:t xml:space="preserve"> </w:t>
      </w:r>
      <w:r>
        <w:rPr>
          <w:rFonts w:ascii="Calibri" w:hAnsi="Calibri" w:eastAsia="Calibri" w:cs="Calibri"/>
          <w:b/>
          <w:bCs/>
          <w:sz w:val="20"/>
          <w:szCs w:val="20"/>
          <w:rtl w:val="0"/>
        </w:rPr>
        <w:t>months</w:t>
      </w:r>
      <w:r>
        <w:rPr>
          <w:rFonts w:ascii="Calibri" w:hAnsi="Calibri" w:eastAsia="Calibri" w:cs="Calibri"/>
          <w:sz w:val="20"/>
          <w:szCs w:val="20"/>
          <w:rtl w:val="0"/>
        </w:rPr>
        <w:t xml:space="preserve">, starting from the date of contract signing. The assignment is </w:t>
      </w:r>
      <w:r>
        <w:rPr>
          <w:rFonts w:hint="default" w:ascii="Calibri" w:hAnsi="Calibri" w:eastAsia="Calibri" w:cs="Calibri"/>
          <w:sz w:val="20"/>
          <w:szCs w:val="20"/>
          <w:rtl w:val="0"/>
          <w:lang w:val="en-US"/>
        </w:rPr>
        <w:t xml:space="preserve">100% </w:t>
      </w:r>
      <w:r>
        <w:rPr>
          <w:rFonts w:ascii="Calibri" w:hAnsi="Calibri" w:eastAsia="Calibri" w:cs="Calibri"/>
          <w:sz w:val="20"/>
          <w:szCs w:val="20"/>
          <w:rtl w:val="0"/>
        </w:rPr>
        <w:t>virtual.</w:t>
      </w:r>
    </w:p>
    <w:p w14:paraId="00000025">
      <w:pPr>
        <w:pStyle w:val="4"/>
        <w:keepNext w:val="0"/>
        <w:keepLines w:val="0"/>
        <w:spacing w:before="280"/>
        <w:rPr>
          <w:rFonts w:ascii="Calibri" w:hAnsi="Calibri" w:eastAsia="Calibri" w:cs="Calibri"/>
          <w:b/>
          <w:bCs/>
          <w:color w:val="981D4F"/>
          <w:sz w:val="24"/>
          <w:szCs w:val="24"/>
        </w:rPr>
      </w:pPr>
      <w:bookmarkStart w:id="12" w:name="_wysvyf18xpya" w:colFirst="0" w:colLast="0"/>
      <w:bookmarkEnd w:id="12"/>
      <w:r>
        <w:rPr>
          <w:rFonts w:ascii="Calibri" w:hAnsi="Calibri" w:eastAsia="Calibri" w:cs="Calibri"/>
          <w:b/>
          <w:bCs/>
          <w:color w:val="981D4F"/>
          <w:sz w:val="24"/>
          <w:szCs w:val="24"/>
          <w:rtl w:val="0"/>
        </w:rPr>
        <w:t>8. Institutional Arrangements</w:t>
      </w:r>
    </w:p>
    <w:p w14:paraId="00000026">
      <w:pPr>
        <w:spacing w:before="240" w:after="240"/>
        <w:jc w:val="both"/>
        <w:rPr>
          <w:rFonts w:ascii="Calibri" w:hAnsi="Calibri" w:eastAsia="Calibri" w:cs="Calibri"/>
          <w:sz w:val="20"/>
          <w:szCs w:val="20"/>
        </w:rPr>
      </w:pPr>
      <w:r>
        <w:rPr>
          <w:rFonts w:ascii="Calibri" w:hAnsi="Calibri" w:eastAsia="Calibri" w:cs="Calibri"/>
          <w:sz w:val="20"/>
          <w:szCs w:val="20"/>
          <w:rtl w:val="0"/>
        </w:rPr>
        <w:t>The consultant/team will work closely with AFSA’s a) Programme Officer – Research; b) Programme Coordinator – Land, Soil &amp; Agroecology; c) Programme Coordinator – M&amp;E; and d) implementing country partners. AFSA will provide overall coordination and technical oversight.</w:t>
      </w:r>
    </w:p>
    <w:p w14:paraId="00000027">
      <w:pPr>
        <w:pStyle w:val="4"/>
        <w:keepNext w:val="0"/>
        <w:keepLines w:val="0"/>
        <w:spacing w:before="280"/>
        <w:rPr>
          <w:rFonts w:ascii="Calibri" w:hAnsi="Calibri" w:eastAsia="Calibri" w:cs="Calibri"/>
          <w:b/>
          <w:bCs/>
          <w:color w:val="981D4F"/>
          <w:sz w:val="24"/>
          <w:szCs w:val="24"/>
        </w:rPr>
      </w:pPr>
      <w:bookmarkStart w:id="13" w:name="_fto5ttrtchea" w:colFirst="0" w:colLast="0"/>
      <w:bookmarkEnd w:id="13"/>
      <w:r>
        <w:rPr>
          <w:rFonts w:ascii="Calibri" w:hAnsi="Calibri" w:eastAsia="Calibri" w:cs="Calibri"/>
          <w:b/>
          <w:bCs/>
          <w:color w:val="981D4F"/>
          <w:sz w:val="24"/>
          <w:szCs w:val="24"/>
          <w:rtl w:val="0"/>
        </w:rPr>
        <w:t>9. Required Qualifications and Experience</w:t>
      </w:r>
    </w:p>
    <w:p w14:paraId="00000028">
      <w:pPr>
        <w:spacing w:before="240" w:after="240"/>
        <w:rPr>
          <w:rFonts w:ascii="Calibri" w:hAnsi="Calibri" w:eastAsia="Calibri" w:cs="Calibri"/>
          <w:sz w:val="20"/>
          <w:szCs w:val="20"/>
        </w:rPr>
      </w:pPr>
      <w:r>
        <w:rPr>
          <w:rFonts w:ascii="Calibri" w:hAnsi="Calibri" w:eastAsia="Calibri" w:cs="Calibri"/>
          <w:sz w:val="20"/>
          <w:szCs w:val="20"/>
          <w:rtl w:val="0"/>
        </w:rPr>
        <w:t>The consultant/team should demonstrate:</w:t>
      </w:r>
    </w:p>
    <w:p w14:paraId="00000029">
      <w:pPr>
        <w:numPr>
          <w:ilvl w:val="0"/>
          <w:numId w:val="4"/>
        </w:numPr>
        <w:spacing w:before="240" w:after="0" w:afterAutospacing="0"/>
        <w:ind w:left="720" w:hanging="360"/>
        <w:rPr>
          <w:sz w:val="20"/>
          <w:szCs w:val="20"/>
        </w:rPr>
      </w:pPr>
      <w:r>
        <w:rPr>
          <w:rFonts w:ascii="Calibri" w:hAnsi="Calibri" w:eastAsia="Calibri" w:cs="Calibri"/>
          <w:sz w:val="20"/>
          <w:szCs w:val="20"/>
          <w:rtl w:val="0"/>
        </w:rPr>
        <w:t>Proven experience in baseline studies and evaluations</w:t>
      </w:r>
    </w:p>
    <w:p w14:paraId="0000002A">
      <w:pPr>
        <w:numPr>
          <w:ilvl w:val="0"/>
          <w:numId w:val="4"/>
        </w:numPr>
        <w:spacing w:before="0" w:beforeAutospacing="0" w:after="0" w:afterAutospacing="0"/>
        <w:ind w:left="720" w:hanging="360"/>
        <w:rPr>
          <w:sz w:val="20"/>
          <w:szCs w:val="20"/>
        </w:rPr>
      </w:pPr>
      <w:r>
        <w:rPr>
          <w:rFonts w:ascii="Calibri" w:hAnsi="Calibri" w:eastAsia="Calibri" w:cs="Calibri"/>
          <w:sz w:val="20"/>
          <w:szCs w:val="20"/>
          <w:rtl w:val="0"/>
        </w:rPr>
        <w:t>Expertise in agriculture, agroecology, or food systems</w:t>
      </w:r>
    </w:p>
    <w:p w14:paraId="0000002B">
      <w:pPr>
        <w:numPr>
          <w:ilvl w:val="0"/>
          <w:numId w:val="4"/>
        </w:numPr>
        <w:spacing w:before="0" w:beforeAutospacing="0" w:after="0" w:afterAutospacing="0"/>
        <w:ind w:left="720" w:hanging="360"/>
        <w:rPr>
          <w:sz w:val="20"/>
          <w:szCs w:val="20"/>
        </w:rPr>
      </w:pPr>
      <w:r>
        <w:rPr>
          <w:rFonts w:ascii="Calibri" w:hAnsi="Calibri" w:eastAsia="Calibri" w:cs="Calibri"/>
          <w:sz w:val="20"/>
          <w:szCs w:val="20"/>
          <w:rtl w:val="0"/>
        </w:rPr>
        <w:t>Strong experience in mixed-methods research</w:t>
      </w:r>
    </w:p>
    <w:p w14:paraId="0000002C">
      <w:pPr>
        <w:numPr>
          <w:ilvl w:val="0"/>
          <w:numId w:val="4"/>
        </w:numPr>
        <w:spacing w:before="0" w:beforeAutospacing="0" w:after="0" w:afterAutospacing="0"/>
        <w:ind w:left="720" w:hanging="360"/>
        <w:rPr>
          <w:sz w:val="20"/>
          <w:szCs w:val="20"/>
        </w:rPr>
      </w:pPr>
      <w:r>
        <w:rPr>
          <w:rFonts w:ascii="Calibri" w:hAnsi="Calibri" w:eastAsia="Calibri" w:cs="Calibri"/>
          <w:sz w:val="20"/>
          <w:szCs w:val="20"/>
          <w:rtl w:val="0"/>
        </w:rPr>
        <w:t>Demonstrated understanding of  PAR and GESI</w:t>
      </w:r>
    </w:p>
    <w:p w14:paraId="0000002D">
      <w:pPr>
        <w:numPr>
          <w:ilvl w:val="0"/>
          <w:numId w:val="4"/>
        </w:numPr>
        <w:spacing w:before="0" w:beforeAutospacing="0" w:after="0" w:afterAutospacing="0"/>
        <w:ind w:left="720" w:hanging="360"/>
        <w:rPr>
          <w:sz w:val="20"/>
          <w:szCs w:val="20"/>
        </w:rPr>
      </w:pPr>
      <w:r>
        <w:rPr>
          <w:rFonts w:ascii="Calibri" w:hAnsi="Calibri" w:eastAsia="Calibri" w:cs="Calibri"/>
          <w:sz w:val="20"/>
          <w:szCs w:val="20"/>
          <w:rtl w:val="0"/>
        </w:rPr>
        <w:t>Experience working in East and/or Southern Africa</w:t>
      </w:r>
    </w:p>
    <w:p w14:paraId="0000002E">
      <w:pPr>
        <w:numPr>
          <w:ilvl w:val="0"/>
          <w:numId w:val="4"/>
        </w:numPr>
        <w:spacing w:before="0" w:beforeAutospacing="0" w:after="0" w:afterAutospacing="0"/>
        <w:ind w:left="720" w:hanging="360"/>
        <w:rPr>
          <w:rFonts w:ascii="Calibri" w:hAnsi="Calibri" w:eastAsia="Calibri" w:cs="Calibri"/>
          <w:sz w:val="20"/>
          <w:szCs w:val="20"/>
        </w:rPr>
      </w:pPr>
      <w:r>
        <w:rPr>
          <w:rFonts w:ascii="Calibri" w:hAnsi="Calibri" w:eastAsia="Calibri" w:cs="Calibri"/>
          <w:sz w:val="20"/>
          <w:szCs w:val="20"/>
          <w:rtl w:val="0"/>
        </w:rPr>
        <w:t>Strong analytical and report-writing skills</w:t>
      </w:r>
    </w:p>
    <w:p w14:paraId="0000002F">
      <w:pPr>
        <w:numPr>
          <w:ilvl w:val="0"/>
          <w:numId w:val="4"/>
        </w:numPr>
        <w:spacing w:before="0" w:beforeAutospacing="0" w:after="240"/>
        <w:ind w:left="720" w:hanging="360"/>
        <w:rPr>
          <w:rFonts w:ascii="Calibri" w:hAnsi="Calibri" w:eastAsia="Calibri" w:cs="Calibri"/>
          <w:sz w:val="20"/>
          <w:szCs w:val="20"/>
        </w:rPr>
      </w:pPr>
      <w:r>
        <w:rPr>
          <w:rFonts w:ascii="Calibri" w:hAnsi="Calibri" w:eastAsia="Calibri" w:cs="Calibri"/>
          <w:sz w:val="20"/>
          <w:szCs w:val="20"/>
          <w:rtl w:val="0"/>
        </w:rPr>
        <w:t>Experience with school and college meal systems is an added advantage.</w:t>
      </w:r>
    </w:p>
    <w:p w14:paraId="00000030">
      <w:pPr>
        <w:pStyle w:val="4"/>
        <w:keepNext w:val="0"/>
        <w:keepLines w:val="0"/>
        <w:spacing w:before="280"/>
        <w:rPr>
          <w:rFonts w:ascii="Calibri" w:hAnsi="Calibri" w:eastAsia="Calibri" w:cs="Calibri"/>
          <w:b/>
          <w:bCs/>
          <w:color w:val="981D4F"/>
          <w:sz w:val="24"/>
          <w:szCs w:val="24"/>
        </w:rPr>
      </w:pPr>
      <w:bookmarkStart w:id="14" w:name="_qfhtqqxxrqsh" w:colFirst="0" w:colLast="0"/>
      <w:bookmarkEnd w:id="14"/>
      <w:r>
        <w:rPr>
          <w:rFonts w:ascii="Calibri" w:hAnsi="Calibri" w:eastAsia="Calibri" w:cs="Calibri"/>
          <w:b/>
          <w:bCs/>
          <w:color w:val="981D4F"/>
          <w:sz w:val="24"/>
          <w:szCs w:val="24"/>
          <w:rtl w:val="0"/>
        </w:rPr>
        <w:t>10. Ethical Considerations</w:t>
      </w:r>
    </w:p>
    <w:p w14:paraId="00000031">
      <w:pPr>
        <w:spacing w:before="240" w:after="240"/>
        <w:jc w:val="both"/>
        <w:rPr>
          <w:rFonts w:ascii="Calibri" w:hAnsi="Calibri" w:eastAsia="Calibri" w:cs="Calibri"/>
          <w:sz w:val="20"/>
          <w:szCs w:val="20"/>
        </w:rPr>
      </w:pPr>
      <w:r>
        <w:rPr>
          <w:rFonts w:ascii="Calibri" w:hAnsi="Calibri" w:eastAsia="Calibri" w:cs="Calibri"/>
          <w:sz w:val="20"/>
          <w:szCs w:val="20"/>
          <w:rtl w:val="0"/>
        </w:rPr>
        <w:t>The consultant must adhere to the following: a) International research ethics standards;  b) Informed consent procedures; c) Confidentiality and data protection; and d) Safeguarding of children and vulnerable groups.</w:t>
      </w:r>
    </w:p>
    <w:p w14:paraId="00000032">
      <w:pPr>
        <w:pStyle w:val="4"/>
        <w:keepNext w:val="0"/>
        <w:keepLines w:val="0"/>
        <w:spacing w:before="280"/>
        <w:rPr>
          <w:rFonts w:ascii="Calibri" w:hAnsi="Calibri" w:eastAsia="Calibri" w:cs="Calibri"/>
          <w:b/>
          <w:bCs/>
          <w:color w:val="981D4F"/>
          <w:sz w:val="24"/>
          <w:szCs w:val="24"/>
        </w:rPr>
      </w:pPr>
      <w:bookmarkStart w:id="15" w:name="_b6dhjfnmwe5r" w:colFirst="0" w:colLast="0"/>
      <w:bookmarkEnd w:id="15"/>
      <w:r>
        <w:rPr>
          <w:rFonts w:ascii="Calibri" w:hAnsi="Calibri" w:eastAsia="Calibri" w:cs="Calibri"/>
          <w:b/>
          <w:bCs/>
          <w:color w:val="981D4F"/>
          <w:sz w:val="24"/>
          <w:szCs w:val="24"/>
          <w:rtl w:val="0"/>
        </w:rPr>
        <w:t>11. Submission Requirements</w:t>
      </w:r>
    </w:p>
    <w:p w14:paraId="00000033">
      <w:pPr>
        <w:spacing w:before="240" w:after="240"/>
        <w:rPr>
          <w:rFonts w:ascii="Calibri" w:hAnsi="Calibri" w:eastAsia="Calibri" w:cs="Calibri"/>
          <w:sz w:val="20"/>
          <w:szCs w:val="20"/>
        </w:rPr>
      </w:pPr>
      <w:r>
        <w:rPr>
          <w:rFonts w:ascii="Calibri" w:hAnsi="Calibri" w:eastAsia="Calibri" w:cs="Calibri"/>
          <w:sz w:val="20"/>
          <w:szCs w:val="20"/>
          <w:rtl w:val="0"/>
        </w:rPr>
        <w:t>Interested consultants/teams should submit:</w:t>
      </w:r>
    </w:p>
    <w:p w14:paraId="00000034">
      <w:pPr>
        <w:numPr>
          <w:ilvl w:val="0"/>
          <w:numId w:val="5"/>
        </w:numPr>
        <w:spacing w:before="240" w:after="0" w:afterAutospacing="0"/>
        <w:ind w:left="720" w:hanging="360"/>
        <w:rPr>
          <w:rFonts w:ascii="Calibri" w:hAnsi="Calibri" w:eastAsia="Calibri" w:cs="Calibri"/>
          <w:sz w:val="20"/>
          <w:szCs w:val="20"/>
        </w:rPr>
      </w:pPr>
      <w:r>
        <w:rPr>
          <w:rFonts w:ascii="Calibri" w:hAnsi="Calibri" w:eastAsia="Calibri" w:cs="Calibri"/>
          <w:sz w:val="20"/>
          <w:szCs w:val="20"/>
          <w:rtl w:val="0"/>
        </w:rPr>
        <w:t>Technical proposal</w:t>
      </w:r>
    </w:p>
    <w:p w14:paraId="00000035">
      <w:pPr>
        <w:numPr>
          <w:ilvl w:val="0"/>
          <w:numId w:val="5"/>
        </w:numPr>
        <w:spacing w:before="0" w:beforeAutospacing="0" w:after="0" w:afterAutospacing="0"/>
        <w:ind w:left="720" w:hanging="360"/>
        <w:rPr>
          <w:rFonts w:ascii="Calibri" w:hAnsi="Calibri" w:eastAsia="Calibri" w:cs="Calibri"/>
          <w:sz w:val="20"/>
          <w:szCs w:val="20"/>
        </w:rPr>
      </w:pPr>
      <w:r>
        <w:rPr>
          <w:rFonts w:ascii="Calibri" w:hAnsi="Calibri" w:eastAsia="Calibri" w:cs="Calibri"/>
          <w:sz w:val="20"/>
          <w:szCs w:val="20"/>
          <w:rtl w:val="0"/>
        </w:rPr>
        <w:t>Financial proposal (detailed budget in USD)</w:t>
      </w:r>
    </w:p>
    <w:p w14:paraId="00000036">
      <w:pPr>
        <w:numPr>
          <w:ilvl w:val="0"/>
          <w:numId w:val="5"/>
        </w:numPr>
        <w:spacing w:before="0" w:beforeAutospacing="0" w:after="0" w:afterAutospacing="0"/>
        <w:ind w:left="720" w:hanging="360"/>
        <w:rPr>
          <w:rFonts w:ascii="Calibri" w:hAnsi="Calibri" w:eastAsia="Calibri" w:cs="Calibri"/>
          <w:sz w:val="20"/>
          <w:szCs w:val="20"/>
        </w:rPr>
      </w:pPr>
      <w:r>
        <w:rPr>
          <w:rFonts w:ascii="Calibri" w:hAnsi="Calibri" w:eastAsia="Calibri" w:cs="Calibri"/>
          <w:sz w:val="20"/>
          <w:szCs w:val="20"/>
          <w:rtl w:val="0"/>
        </w:rPr>
        <w:t>Company/consultant profile</w:t>
      </w:r>
    </w:p>
    <w:p w14:paraId="00000037">
      <w:pPr>
        <w:numPr>
          <w:ilvl w:val="0"/>
          <w:numId w:val="5"/>
        </w:numPr>
        <w:spacing w:before="0" w:beforeAutospacing="0" w:after="0" w:afterAutospacing="0"/>
        <w:ind w:left="720" w:hanging="360"/>
        <w:rPr>
          <w:rFonts w:ascii="Calibri" w:hAnsi="Calibri" w:eastAsia="Calibri" w:cs="Calibri"/>
          <w:sz w:val="20"/>
          <w:szCs w:val="20"/>
        </w:rPr>
      </w:pPr>
      <w:r>
        <w:rPr>
          <w:rFonts w:ascii="Calibri" w:hAnsi="Calibri" w:eastAsia="Calibri" w:cs="Calibri"/>
          <w:sz w:val="20"/>
          <w:szCs w:val="20"/>
          <w:rtl w:val="0"/>
        </w:rPr>
        <w:t>Relevant experience and references</w:t>
      </w:r>
    </w:p>
    <w:p w14:paraId="00000038">
      <w:pPr>
        <w:numPr>
          <w:ilvl w:val="0"/>
          <w:numId w:val="5"/>
        </w:numPr>
        <w:spacing w:before="0" w:beforeAutospacing="0" w:after="240"/>
        <w:ind w:left="720" w:hanging="360"/>
        <w:rPr>
          <w:rFonts w:ascii="Calibri" w:hAnsi="Calibri" w:eastAsia="Calibri" w:cs="Calibri"/>
          <w:sz w:val="20"/>
          <w:szCs w:val="20"/>
        </w:rPr>
      </w:pPr>
      <w:r>
        <w:rPr>
          <w:rFonts w:ascii="Calibri" w:hAnsi="Calibri" w:eastAsia="Calibri" w:cs="Calibri"/>
          <w:sz w:val="20"/>
          <w:szCs w:val="20"/>
          <w:rtl w:val="0"/>
        </w:rPr>
        <w:t>CVs of key personnel</w:t>
      </w:r>
    </w:p>
    <w:p w14:paraId="00000039">
      <w:pPr>
        <w:pStyle w:val="4"/>
        <w:keepNext w:val="0"/>
        <w:keepLines w:val="0"/>
        <w:spacing w:before="280"/>
        <w:rPr>
          <w:rFonts w:ascii="Calibri" w:hAnsi="Calibri" w:eastAsia="Calibri" w:cs="Calibri"/>
          <w:b/>
          <w:bCs/>
          <w:color w:val="981D4F"/>
          <w:sz w:val="24"/>
          <w:szCs w:val="24"/>
        </w:rPr>
      </w:pPr>
      <w:bookmarkStart w:id="16" w:name="_5nnhytwbb4a6" w:colFirst="0" w:colLast="0"/>
      <w:bookmarkEnd w:id="16"/>
      <w:r>
        <w:rPr>
          <w:rFonts w:ascii="Calibri" w:hAnsi="Calibri" w:eastAsia="Calibri" w:cs="Calibri"/>
          <w:b/>
          <w:bCs/>
          <w:color w:val="981D4F"/>
          <w:sz w:val="24"/>
          <w:szCs w:val="24"/>
          <w:rtl w:val="0"/>
        </w:rPr>
        <w:t>12. Submission Details</w:t>
      </w:r>
    </w:p>
    <w:p w14:paraId="0000003A">
      <w:pPr>
        <w:numPr>
          <w:ilvl w:val="0"/>
          <w:numId w:val="6"/>
        </w:numPr>
        <w:spacing w:before="240" w:after="0" w:afterAutospacing="0"/>
        <w:ind w:left="720" w:hanging="360"/>
        <w:rPr>
          <w:sz w:val="20"/>
          <w:szCs w:val="20"/>
        </w:rPr>
      </w:pPr>
      <w:r>
        <w:rPr>
          <w:rFonts w:ascii="Calibri" w:hAnsi="Calibri" w:eastAsia="Calibri" w:cs="Calibri"/>
          <w:b/>
          <w:bCs/>
          <w:sz w:val="20"/>
          <w:szCs w:val="20"/>
          <w:rtl w:val="0"/>
        </w:rPr>
        <w:t>Deadline:</w:t>
      </w:r>
      <w:r>
        <w:rPr>
          <w:rFonts w:ascii="Calibri" w:hAnsi="Calibri" w:eastAsia="Calibri" w:cs="Calibri"/>
          <w:sz w:val="20"/>
          <w:szCs w:val="20"/>
          <w:rtl w:val="0"/>
        </w:rPr>
        <w:t xml:space="preserve"> </w:t>
      </w:r>
      <w:r>
        <w:rPr>
          <w:rFonts w:hint="default" w:ascii="Calibri" w:hAnsi="Calibri" w:eastAsia="Calibri" w:cs="Calibri"/>
          <w:sz w:val="20"/>
          <w:szCs w:val="20"/>
          <w:rtl w:val="0"/>
          <w:lang w:val="en-US"/>
        </w:rPr>
        <w:t>16</w:t>
      </w:r>
      <w:r>
        <w:rPr>
          <w:rFonts w:hint="default" w:ascii="Calibri" w:hAnsi="Calibri" w:eastAsia="Calibri" w:cs="Calibri"/>
          <w:sz w:val="20"/>
          <w:szCs w:val="20"/>
          <w:vertAlign w:val="superscript"/>
          <w:rtl w:val="0"/>
          <w:lang w:val="en-US"/>
        </w:rPr>
        <w:t>th</w:t>
      </w:r>
      <w:r>
        <w:rPr>
          <w:rFonts w:hint="default" w:ascii="Calibri" w:hAnsi="Calibri" w:eastAsia="Calibri" w:cs="Calibri"/>
          <w:sz w:val="20"/>
          <w:szCs w:val="20"/>
          <w:rtl w:val="0"/>
          <w:lang w:val="en-US"/>
        </w:rPr>
        <w:t xml:space="preserve"> June</w:t>
      </w:r>
      <w:r>
        <w:rPr>
          <w:rFonts w:ascii="Calibri" w:hAnsi="Calibri" w:eastAsia="Calibri" w:cs="Calibri"/>
          <w:sz w:val="20"/>
          <w:szCs w:val="20"/>
          <w:rtl w:val="0"/>
        </w:rPr>
        <w:t xml:space="preserve"> 2026, at 5 pm East African Time. Late submissions will not be considered.</w:t>
      </w:r>
    </w:p>
    <w:p w14:paraId="0000003B">
      <w:pPr>
        <w:numPr>
          <w:ilvl w:val="0"/>
          <w:numId w:val="6"/>
        </w:numPr>
        <w:spacing w:before="0" w:beforeAutospacing="0" w:after="0" w:afterAutospacing="0"/>
        <w:ind w:left="720" w:hanging="360"/>
        <w:rPr>
          <w:sz w:val="20"/>
          <w:szCs w:val="20"/>
        </w:rPr>
      </w:pPr>
      <w:r>
        <w:rPr>
          <w:rFonts w:ascii="Calibri" w:hAnsi="Calibri" w:eastAsia="Calibri" w:cs="Calibri"/>
          <w:b/>
          <w:bCs/>
          <w:sz w:val="20"/>
          <w:szCs w:val="20"/>
          <w:rtl w:val="0"/>
        </w:rPr>
        <w:t>Submission email:</w:t>
      </w:r>
      <w:r>
        <w:rPr>
          <w:rFonts w:ascii="Calibri" w:hAnsi="Calibri" w:eastAsia="Calibri" w:cs="Calibri"/>
          <w:sz w:val="20"/>
          <w:szCs w:val="20"/>
          <w:rtl w:val="0"/>
        </w:rPr>
        <w:t xml:space="preserve"> </w:t>
      </w:r>
      <w:r>
        <w:fldChar w:fldCharType="begin"/>
      </w:r>
      <w:r>
        <w:instrText xml:space="preserve"> HYPERLINK "mailto:afsa@afsafrica.org" \h </w:instrText>
      </w:r>
      <w:r>
        <w:fldChar w:fldCharType="separate"/>
      </w:r>
      <w:r>
        <w:rPr>
          <w:rFonts w:ascii="Calibri" w:hAnsi="Calibri" w:eastAsia="Calibri" w:cs="Calibri"/>
          <w:color w:val="1155CC"/>
          <w:sz w:val="20"/>
          <w:szCs w:val="20"/>
          <w:u w:val="single"/>
          <w:rtl w:val="0"/>
        </w:rPr>
        <w:t>afsa@afsafrica.org</w:t>
      </w:r>
      <w:r>
        <w:rPr>
          <w:rFonts w:ascii="Calibri" w:hAnsi="Calibri" w:eastAsia="Calibri" w:cs="Calibri"/>
          <w:color w:val="1155CC"/>
          <w:sz w:val="20"/>
          <w:szCs w:val="20"/>
          <w:u w:val="single"/>
          <w:rtl w:val="0"/>
        </w:rPr>
        <w:fldChar w:fldCharType="end"/>
      </w:r>
    </w:p>
    <w:p w14:paraId="0000003C">
      <w:pPr>
        <w:numPr>
          <w:ilvl w:val="0"/>
          <w:numId w:val="6"/>
        </w:numPr>
        <w:spacing w:before="0" w:beforeAutospacing="0" w:after="240"/>
        <w:ind w:left="720" w:hanging="360"/>
        <w:rPr>
          <w:sz w:val="20"/>
          <w:szCs w:val="20"/>
        </w:rPr>
      </w:pPr>
      <w:r>
        <w:rPr>
          <w:rFonts w:ascii="Calibri" w:hAnsi="Calibri" w:eastAsia="Calibri" w:cs="Calibri"/>
          <w:b/>
          <w:bCs/>
          <w:sz w:val="20"/>
          <w:szCs w:val="20"/>
          <w:rtl w:val="0"/>
        </w:rPr>
        <w:t>Subject line:</w:t>
      </w:r>
      <w:r>
        <w:rPr>
          <w:rFonts w:ascii="Calibri" w:hAnsi="Calibri" w:eastAsia="Calibri" w:cs="Calibri"/>
          <w:sz w:val="20"/>
          <w:szCs w:val="20"/>
          <w:rtl w:val="0"/>
        </w:rPr>
        <w:t xml:space="preserve"> </w:t>
      </w:r>
      <w:r>
        <w:rPr>
          <w:rFonts w:ascii="Calibri" w:hAnsi="Calibri" w:eastAsia="Calibri" w:cs="Calibri"/>
          <w:i/>
          <w:iCs/>
          <w:sz w:val="20"/>
          <w:szCs w:val="20"/>
          <w:rtl w:val="0"/>
        </w:rPr>
        <w:t>EOI – Baseline Evaluation Agroecology School Feeding Project</w:t>
      </w:r>
    </w:p>
    <w:p w14:paraId="0000003D">
      <w:pPr>
        <w:pStyle w:val="4"/>
        <w:keepNext w:val="0"/>
        <w:keepLines w:val="0"/>
        <w:spacing w:before="280"/>
        <w:rPr>
          <w:rFonts w:ascii="Calibri" w:hAnsi="Calibri" w:eastAsia="Calibri" w:cs="Calibri"/>
          <w:b/>
          <w:bCs/>
          <w:color w:val="981D4F"/>
          <w:sz w:val="24"/>
          <w:szCs w:val="24"/>
        </w:rPr>
      </w:pPr>
      <w:bookmarkStart w:id="17" w:name="_op22ljx3skt" w:colFirst="0" w:colLast="0"/>
      <w:bookmarkEnd w:id="17"/>
      <w:r>
        <w:rPr>
          <w:rFonts w:ascii="Calibri" w:hAnsi="Calibri" w:eastAsia="Calibri" w:cs="Calibri"/>
          <w:b/>
          <w:bCs/>
          <w:color w:val="981D4F"/>
          <w:sz w:val="24"/>
          <w:szCs w:val="24"/>
          <w:rtl w:val="0"/>
        </w:rPr>
        <w:t>13. Evaluation Criteria</w:t>
      </w:r>
    </w:p>
    <w:p w14:paraId="0000003E">
      <w:pPr>
        <w:spacing w:before="240" w:after="240"/>
        <w:rPr>
          <w:rFonts w:ascii="Calibri" w:hAnsi="Calibri" w:eastAsia="Calibri" w:cs="Calibri"/>
          <w:sz w:val="20"/>
          <w:szCs w:val="20"/>
        </w:rPr>
      </w:pPr>
      <w:r>
        <w:rPr>
          <w:rFonts w:ascii="Calibri" w:hAnsi="Calibri" w:eastAsia="Calibri" w:cs="Calibri"/>
          <w:sz w:val="20"/>
          <w:szCs w:val="20"/>
          <w:rtl w:val="0"/>
        </w:rPr>
        <w:t>Proposals will be assessed based on the following criteria:</w:t>
      </w:r>
    </w:p>
    <w:p w14:paraId="0000003F">
      <w:pPr>
        <w:pStyle w:val="5"/>
        <w:keepNext w:val="0"/>
        <w:keepLines w:val="0"/>
        <w:numPr>
          <w:ilvl w:val="0"/>
          <w:numId w:val="7"/>
        </w:numPr>
        <w:spacing w:before="240" w:after="40"/>
        <w:ind w:left="720" w:hanging="360"/>
        <w:rPr>
          <w:rFonts w:ascii="Calibri" w:hAnsi="Calibri" w:eastAsia="Calibri" w:cs="Calibri"/>
          <w:b/>
          <w:bCs/>
          <w:color w:val="000000"/>
          <w:sz w:val="20"/>
          <w:szCs w:val="20"/>
          <w:u w:val="none"/>
        </w:rPr>
      </w:pPr>
      <w:bookmarkStart w:id="18" w:name="_czcdrc7rlb5c" w:colFirst="0" w:colLast="0"/>
      <w:bookmarkEnd w:id="18"/>
      <w:r>
        <w:rPr>
          <w:rFonts w:ascii="Calibri" w:hAnsi="Calibri" w:eastAsia="Calibri" w:cs="Calibri"/>
          <w:b/>
          <w:bCs/>
          <w:color w:val="000000"/>
          <w:sz w:val="20"/>
          <w:szCs w:val="20"/>
          <w:rtl w:val="0"/>
        </w:rPr>
        <w:t>Technical Evaluation (80 Points)</w:t>
      </w:r>
    </w:p>
    <w:p w14:paraId="00000040">
      <w:pPr>
        <w:spacing w:before="240" w:after="240"/>
        <w:rPr>
          <w:rFonts w:ascii="Calibri" w:hAnsi="Calibri" w:eastAsia="Calibri" w:cs="Calibri"/>
          <w:sz w:val="20"/>
          <w:szCs w:val="20"/>
          <w:rtl w:val="0"/>
        </w:rPr>
      </w:pPr>
      <w:r>
        <w:rPr>
          <w:rFonts w:ascii="Calibri" w:hAnsi="Calibri" w:eastAsia="Calibri" w:cs="Calibri"/>
          <w:sz w:val="20"/>
          <w:szCs w:val="20"/>
          <w:rtl w:val="0"/>
        </w:rPr>
        <w:t>Only proposals scoring 60 points and above will qualify for financial evaluation.</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208"/>
        <w:gridCol w:w="3770"/>
        <w:gridCol w:w="2280"/>
      </w:tblGrid>
      <w:tr w14:paraId="74DD3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34" w:hRule="atLeast"/>
        </w:trPr>
        <w:tc>
          <w:tcPr>
            <w:tcW w:w="1208" w:type="dxa"/>
          </w:tcPr>
          <w:p w14:paraId="30A487A2">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b/>
                <w:bCs/>
                <w:color w:val="auto"/>
                <w:sz w:val="20"/>
                <w:szCs w:val="20"/>
                <w:vertAlign w:val="baseline"/>
                <w:rtl w:val="0"/>
                <w:lang w:val="en-US"/>
              </w:rPr>
            </w:pPr>
            <w:r>
              <w:rPr>
                <w:rFonts w:hint="default" w:ascii="Calibri" w:hAnsi="Calibri" w:eastAsia="Calibri" w:cs="Calibri"/>
                <w:b/>
                <w:bCs/>
                <w:color w:val="auto"/>
                <w:sz w:val="20"/>
                <w:szCs w:val="20"/>
                <w:vertAlign w:val="baseline"/>
                <w:rtl w:val="0"/>
                <w:lang w:val="en-US"/>
              </w:rPr>
              <w:t>S/No</w:t>
            </w:r>
          </w:p>
        </w:tc>
        <w:tc>
          <w:tcPr>
            <w:tcW w:w="3770" w:type="dxa"/>
          </w:tcPr>
          <w:p w14:paraId="16DB10A9">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b/>
                <w:bCs/>
                <w:color w:val="auto"/>
                <w:sz w:val="20"/>
                <w:szCs w:val="20"/>
                <w:vertAlign w:val="baseline"/>
                <w:rtl w:val="0"/>
                <w:lang w:val="en-US"/>
              </w:rPr>
            </w:pPr>
            <w:r>
              <w:rPr>
                <w:rFonts w:hint="default" w:ascii="Calibri" w:hAnsi="Calibri" w:eastAsia="Calibri" w:cs="Calibri"/>
                <w:b/>
                <w:bCs/>
                <w:color w:val="auto"/>
                <w:sz w:val="20"/>
                <w:szCs w:val="20"/>
                <w:vertAlign w:val="baseline"/>
                <w:rtl w:val="0"/>
                <w:lang w:val="en-US"/>
              </w:rPr>
              <w:t>Criteria</w:t>
            </w:r>
          </w:p>
        </w:tc>
        <w:tc>
          <w:tcPr>
            <w:tcW w:w="2280" w:type="dxa"/>
          </w:tcPr>
          <w:p w14:paraId="61E6CA29">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b/>
                <w:bCs/>
                <w:color w:val="auto"/>
                <w:sz w:val="20"/>
                <w:szCs w:val="20"/>
                <w:vertAlign w:val="baseline"/>
                <w:rtl w:val="0"/>
                <w:lang w:val="en-US"/>
              </w:rPr>
            </w:pPr>
            <w:r>
              <w:rPr>
                <w:rFonts w:hint="default" w:ascii="Calibri" w:hAnsi="Calibri" w:eastAsia="Calibri" w:cs="Calibri"/>
                <w:b/>
                <w:bCs/>
                <w:color w:val="auto"/>
                <w:sz w:val="20"/>
                <w:szCs w:val="20"/>
                <w:vertAlign w:val="baseline"/>
                <w:rtl w:val="0"/>
                <w:lang w:val="en-US"/>
              </w:rPr>
              <w:t>Maximun Score</w:t>
            </w:r>
          </w:p>
        </w:tc>
      </w:tr>
      <w:tr w14:paraId="17759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5A5D9D29">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1</w:t>
            </w:r>
          </w:p>
        </w:tc>
        <w:tc>
          <w:tcPr>
            <w:tcW w:w="3770" w:type="dxa"/>
          </w:tcPr>
          <w:p w14:paraId="08015D5E">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vertAlign w:val="baseline"/>
                <w:rtl w:val="0"/>
              </w:rPr>
            </w:pPr>
            <w:r>
              <w:rPr>
                <w:rFonts w:ascii="Calibri" w:hAnsi="Calibri" w:eastAsia="Calibri" w:cs="Calibri"/>
                <w:sz w:val="20"/>
                <w:szCs w:val="20"/>
                <w:rtl w:val="0"/>
              </w:rPr>
              <w:t>Understanding of the Assignment</w:t>
            </w:r>
          </w:p>
        </w:tc>
        <w:tc>
          <w:tcPr>
            <w:tcW w:w="2280" w:type="dxa"/>
          </w:tcPr>
          <w:p w14:paraId="00B61900">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10</w:t>
            </w:r>
          </w:p>
        </w:tc>
      </w:tr>
      <w:tr w14:paraId="5EE0A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456B7981">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2</w:t>
            </w:r>
          </w:p>
        </w:tc>
        <w:tc>
          <w:tcPr>
            <w:tcW w:w="3770" w:type="dxa"/>
          </w:tcPr>
          <w:p w14:paraId="7ADF67D7">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vertAlign w:val="baseline"/>
                <w:rtl w:val="0"/>
              </w:rPr>
            </w:pPr>
            <w:r>
              <w:rPr>
                <w:rFonts w:ascii="Calibri" w:hAnsi="Calibri" w:eastAsia="Calibri" w:cs="Calibri"/>
                <w:sz w:val="20"/>
                <w:szCs w:val="20"/>
                <w:rtl w:val="0"/>
              </w:rPr>
              <w:t>Methodology and Approach</w:t>
            </w:r>
          </w:p>
        </w:tc>
        <w:tc>
          <w:tcPr>
            <w:tcW w:w="2280" w:type="dxa"/>
          </w:tcPr>
          <w:p w14:paraId="5BB650C4">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25</w:t>
            </w:r>
          </w:p>
        </w:tc>
      </w:tr>
      <w:tr w14:paraId="3F7D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3D69965C">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3</w:t>
            </w:r>
          </w:p>
        </w:tc>
        <w:tc>
          <w:tcPr>
            <w:tcW w:w="3770" w:type="dxa"/>
          </w:tcPr>
          <w:p w14:paraId="6D9F3610">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vertAlign w:val="baseline"/>
                <w:rtl w:val="0"/>
              </w:rPr>
            </w:pPr>
            <w:r>
              <w:rPr>
                <w:rFonts w:ascii="Calibri" w:hAnsi="Calibri" w:eastAsia="Calibri" w:cs="Calibri"/>
                <w:sz w:val="20"/>
                <w:szCs w:val="20"/>
                <w:rtl w:val="0"/>
              </w:rPr>
              <w:t>Work Plan and Timelines</w:t>
            </w:r>
          </w:p>
        </w:tc>
        <w:tc>
          <w:tcPr>
            <w:tcW w:w="2280" w:type="dxa"/>
          </w:tcPr>
          <w:p w14:paraId="2EC63DFC">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10</w:t>
            </w:r>
          </w:p>
        </w:tc>
      </w:tr>
      <w:tr w14:paraId="5F01D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582B1CAA">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4</w:t>
            </w:r>
          </w:p>
        </w:tc>
        <w:tc>
          <w:tcPr>
            <w:tcW w:w="3770" w:type="dxa"/>
          </w:tcPr>
          <w:p w14:paraId="1B8B3241">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vertAlign w:val="baseline"/>
                <w:rtl w:val="0"/>
              </w:rPr>
            </w:pPr>
            <w:r>
              <w:rPr>
                <w:rFonts w:ascii="Calibri" w:hAnsi="Calibri" w:eastAsia="Calibri" w:cs="Calibri"/>
                <w:sz w:val="20"/>
                <w:szCs w:val="20"/>
                <w:rtl w:val="0"/>
              </w:rPr>
              <w:t>Relevant Experience</w:t>
            </w:r>
          </w:p>
        </w:tc>
        <w:tc>
          <w:tcPr>
            <w:tcW w:w="2280" w:type="dxa"/>
          </w:tcPr>
          <w:p w14:paraId="10878616">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15</w:t>
            </w:r>
          </w:p>
        </w:tc>
      </w:tr>
      <w:tr w14:paraId="3021B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7C04924A">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5</w:t>
            </w:r>
          </w:p>
        </w:tc>
        <w:tc>
          <w:tcPr>
            <w:tcW w:w="3770" w:type="dxa"/>
          </w:tcPr>
          <w:p w14:paraId="34D24AA4">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rtl w:val="0"/>
              </w:rPr>
            </w:pPr>
            <w:r>
              <w:rPr>
                <w:rFonts w:ascii="Calibri" w:hAnsi="Calibri" w:eastAsia="Calibri" w:cs="Calibri"/>
                <w:sz w:val="20"/>
                <w:szCs w:val="20"/>
                <w:rtl w:val="0"/>
              </w:rPr>
              <w:t>Team Composition and Expertise</w:t>
            </w:r>
          </w:p>
        </w:tc>
        <w:tc>
          <w:tcPr>
            <w:tcW w:w="2280" w:type="dxa"/>
          </w:tcPr>
          <w:p w14:paraId="7979C996">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10</w:t>
            </w:r>
          </w:p>
        </w:tc>
      </w:tr>
      <w:tr w14:paraId="183EC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5B7849B5">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6</w:t>
            </w:r>
          </w:p>
        </w:tc>
        <w:tc>
          <w:tcPr>
            <w:tcW w:w="3770" w:type="dxa"/>
          </w:tcPr>
          <w:p w14:paraId="70D9B044">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rtl w:val="0"/>
              </w:rPr>
            </w:pPr>
            <w:r>
              <w:rPr>
                <w:rFonts w:ascii="Calibri" w:hAnsi="Calibri" w:eastAsia="Calibri" w:cs="Calibri"/>
                <w:sz w:val="20"/>
                <w:szCs w:val="20"/>
                <w:rtl w:val="0"/>
              </w:rPr>
              <w:t>Quality Assurance and Risk Mitigation</w:t>
            </w:r>
          </w:p>
        </w:tc>
        <w:tc>
          <w:tcPr>
            <w:tcW w:w="2280" w:type="dxa"/>
          </w:tcPr>
          <w:p w14:paraId="293ACDE5">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05</w:t>
            </w:r>
          </w:p>
        </w:tc>
      </w:tr>
      <w:tr w14:paraId="6FE7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8" w:type="dxa"/>
          </w:tcPr>
          <w:p w14:paraId="15762B2E">
            <w:pPr>
              <w:keepNext w:val="0"/>
              <w:keepLines w:val="0"/>
              <w:pageBreakBefore w:val="0"/>
              <w:widowControl/>
              <w:kinsoku/>
              <w:wordWrap/>
              <w:overflowPunct/>
              <w:topLinePunct w:val="0"/>
              <w:autoSpaceDE/>
              <w:autoSpaceDN/>
              <w:bidi w:val="0"/>
              <w:adjustRightInd/>
              <w:snapToGrid/>
              <w:spacing w:after="240" w:line="240" w:lineRule="auto"/>
              <w:jc w:val="center"/>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7</w:t>
            </w:r>
          </w:p>
        </w:tc>
        <w:tc>
          <w:tcPr>
            <w:tcW w:w="3770" w:type="dxa"/>
          </w:tcPr>
          <w:p w14:paraId="14F1B86E">
            <w:pPr>
              <w:keepNext w:val="0"/>
              <w:keepLines w:val="0"/>
              <w:pageBreakBefore w:val="0"/>
              <w:widowControl/>
              <w:kinsoku/>
              <w:wordWrap/>
              <w:overflowPunct/>
              <w:topLinePunct w:val="0"/>
              <w:autoSpaceDE/>
              <w:autoSpaceDN/>
              <w:bidi w:val="0"/>
              <w:adjustRightInd/>
              <w:snapToGrid/>
              <w:spacing w:after="240" w:line="240" w:lineRule="auto"/>
              <w:textAlignment w:val="auto"/>
              <w:rPr>
                <w:rFonts w:ascii="Calibri" w:hAnsi="Calibri" w:eastAsia="Calibri" w:cs="Calibri"/>
                <w:sz w:val="20"/>
                <w:szCs w:val="20"/>
                <w:rtl w:val="0"/>
              </w:rPr>
            </w:pPr>
            <w:r>
              <w:rPr>
                <w:rFonts w:ascii="Calibri" w:hAnsi="Calibri" w:eastAsia="Calibri" w:cs="Calibri"/>
                <w:sz w:val="20"/>
                <w:szCs w:val="20"/>
                <w:rtl w:val="0"/>
              </w:rPr>
              <w:t>Added Value / Innovativeness</w:t>
            </w:r>
          </w:p>
        </w:tc>
        <w:tc>
          <w:tcPr>
            <w:tcW w:w="2280" w:type="dxa"/>
          </w:tcPr>
          <w:p w14:paraId="08D440BA">
            <w:pPr>
              <w:keepNext w:val="0"/>
              <w:keepLines w:val="0"/>
              <w:pageBreakBefore w:val="0"/>
              <w:widowControl/>
              <w:kinsoku/>
              <w:wordWrap/>
              <w:overflowPunct/>
              <w:topLinePunct w:val="0"/>
              <w:autoSpaceDE/>
              <w:autoSpaceDN/>
              <w:bidi w:val="0"/>
              <w:adjustRightInd/>
              <w:snapToGrid/>
              <w:spacing w:after="240" w:line="240" w:lineRule="auto"/>
              <w:textAlignment w:val="auto"/>
              <w:rPr>
                <w:rFonts w:hint="default" w:ascii="Calibri" w:hAnsi="Calibri" w:eastAsia="Calibri" w:cs="Calibri"/>
                <w:sz w:val="20"/>
                <w:szCs w:val="20"/>
                <w:vertAlign w:val="baseline"/>
                <w:rtl w:val="0"/>
                <w:lang w:val="en-US"/>
              </w:rPr>
            </w:pPr>
            <w:r>
              <w:rPr>
                <w:rFonts w:hint="default" w:ascii="Calibri" w:hAnsi="Calibri" w:eastAsia="Calibri" w:cs="Calibri"/>
                <w:sz w:val="20"/>
                <w:szCs w:val="20"/>
                <w:vertAlign w:val="baseline"/>
                <w:rtl w:val="0"/>
                <w:lang w:val="en-US"/>
              </w:rPr>
              <w:t>05</w:t>
            </w:r>
          </w:p>
        </w:tc>
      </w:tr>
    </w:tbl>
    <w:p w14:paraId="09069FA0">
      <w:pPr>
        <w:spacing w:before="240" w:after="240"/>
        <w:rPr>
          <w:rFonts w:ascii="Calibri" w:hAnsi="Calibri" w:eastAsia="Calibri" w:cs="Calibri"/>
          <w:sz w:val="20"/>
          <w:szCs w:val="20"/>
          <w:rtl w:val="0"/>
        </w:rPr>
      </w:pPr>
    </w:p>
    <w:p w14:paraId="00000059">
      <w:pPr>
        <w:pStyle w:val="5"/>
        <w:keepNext w:val="0"/>
        <w:keepLines w:val="0"/>
        <w:numPr>
          <w:ilvl w:val="0"/>
          <w:numId w:val="7"/>
        </w:numPr>
        <w:spacing w:before="240" w:after="40"/>
        <w:ind w:left="720" w:hanging="360"/>
        <w:rPr>
          <w:rFonts w:ascii="Calibri" w:hAnsi="Calibri" w:eastAsia="Calibri" w:cs="Calibri"/>
          <w:b/>
          <w:bCs/>
          <w:color w:val="000000"/>
          <w:sz w:val="20"/>
          <w:szCs w:val="20"/>
          <w:u w:val="none"/>
        </w:rPr>
      </w:pPr>
      <w:bookmarkStart w:id="19" w:name="_jon4izydkhpt" w:colFirst="0" w:colLast="0"/>
      <w:bookmarkEnd w:id="19"/>
      <w:r>
        <w:rPr>
          <w:rFonts w:ascii="Calibri" w:hAnsi="Calibri" w:eastAsia="Calibri" w:cs="Calibri"/>
          <w:b/>
          <w:bCs/>
          <w:color w:val="000000"/>
          <w:sz w:val="20"/>
          <w:szCs w:val="20"/>
          <w:rtl w:val="0"/>
        </w:rPr>
        <w:t>Financial Evaluation (20 Points)</w:t>
      </w:r>
    </w:p>
    <w:p w14:paraId="0000005A">
      <w:pPr>
        <w:spacing w:before="240" w:after="240"/>
        <w:rPr>
          <w:rFonts w:ascii="Calibri" w:hAnsi="Calibri" w:eastAsia="Calibri" w:cs="Calibri"/>
          <w:sz w:val="20"/>
          <w:szCs w:val="20"/>
        </w:rPr>
      </w:pPr>
      <w:r>
        <w:rPr>
          <w:rFonts w:ascii="Calibri" w:hAnsi="Calibri" w:eastAsia="Calibri" w:cs="Calibri"/>
          <w:sz w:val="20"/>
          <w:szCs w:val="20"/>
          <w:rtl w:val="0"/>
        </w:rPr>
        <w:t xml:space="preserve">The lowest evaluated financial proposal will receive the maximum score of 20. Other proposals will be scored proportionally as follows. Financial Score = </w:t>
      </w:r>
      <m:oMath>
        <m:f>
          <m:fPr>
            <m:ctrlPr>
              <w:rPr>
                <w:rFonts w:ascii="Calibri" w:hAnsi="Calibri" w:eastAsia="Calibri" w:cs="Calibri"/>
                <w:sz w:val="24"/>
                <w:szCs w:val="24"/>
              </w:rPr>
            </m:ctrlPr>
          </m:fPr>
          <m:num>
            <m:r>
              <m:rPr/>
              <w:rPr>
                <w:rFonts w:ascii="Calibri" w:hAnsi="Calibri" w:eastAsia="Calibri" w:cs="Calibri"/>
                <w:sz w:val="24"/>
                <w:szCs w:val="24"/>
              </w:rPr>
              <m:t>lowest Price</m:t>
            </m:r>
            <m:ctrlPr>
              <w:rPr>
                <w:rFonts w:ascii="Calibri" w:hAnsi="Calibri" w:eastAsia="Calibri" w:cs="Calibri"/>
                <w:sz w:val="24"/>
                <w:szCs w:val="24"/>
              </w:rPr>
            </m:ctrlPr>
          </m:num>
          <m:den>
            <m:r>
              <m:rPr/>
              <w:rPr>
                <w:rFonts w:ascii="Calibri" w:hAnsi="Calibri" w:eastAsia="Calibri" w:cs="Calibri"/>
                <w:sz w:val="24"/>
                <w:szCs w:val="24"/>
              </w:rPr>
              <m:t>Proposed Price</m:t>
            </m:r>
            <m:ctrlPr>
              <w:rPr>
                <w:rFonts w:ascii="Calibri" w:hAnsi="Calibri" w:eastAsia="Calibri" w:cs="Calibri"/>
                <w:sz w:val="24"/>
                <w:szCs w:val="24"/>
              </w:rPr>
            </m:ctrlPr>
          </m:den>
        </m:f>
      </m:oMath>
      <w:r>
        <w:rPr>
          <w:rFonts w:ascii="Calibri" w:hAnsi="Calibri" w:eastAsia="Calibri" w:cs="Calibri"/>
          <w:sz w:val="20"/>
          <w:szCs w:val="20"/>
          <w:rtl w:val="0"/>
        </w:rPr>
        <w:t xml:space="preserve"> </w:t>
      </w:r>
      <m:oMath>
        <m:r>
          <m:rPr/>
          <m:t>×</m:t>
        </m:r>
        <m:r>
          <m:rPr/>
          <w:rPr>
            <w:rFonts w:ascii="Calibri" w:hAnsi="Calibri" w:eastAsia="Calibri" w:cs="Calibri"/>
            <w:sz w:val="20"/>
            <w:szCs w:val="20"/>
          </w:rPr>
          <m:t xml:space="preserve"> 20</m:t>
        </m:r>
      </m:oMath>
    </w:p>
    <w:p w14:paraId="0000005B">
      <w:pPr>
        <w:numPr>
          <w:ilvl w:val="0"/>
          <w:numId w:val="7"/>
        </w:numPr>
        <w:spacing w:before="240" w:after="240"/>
        <w:ind w:left="720" w:hanging="360"/>
        <w:rPr>
          <w:rFonts w:ascii="Calibri" w:hAnsi="Calibri" w:eastAsia="Calibri" w:cs="Calibri"/>
          <w:b/>
          <w:bCs/>
          <w:color w:val="000000"/>
          <w:sz w:val="22"/>
          <w:szCs w:val="22"/>
          <w:u w:val="none"/>
        </w:rPr>
      </w:pPr>
      <w:r>
        <w:rPr>
          <w:rFonts w:ascii="Calibri" w:hAnsi="Calibri" w:eastAsia="Calibri" w:cs="Calibri"/>
          <w:b/>
          <w:bCs/>
          <w:color w:val="000000"/>
          <w:sz w:val="22"/>
          <w:szCs w:val="22"/>
          <w:rtl w:val="0"/>
        </w:rPr>
        <w:t>Combined Evaluation</w:t>
      </w:r>
    </w:p>
    <w:p w14:paraId="0000005C">
      <w:pPr>
        <w:spacing w:before="240" w:after="240"/>
        <w:rPr>
          <w:rFonts w:ascii="Calibri" w:hAnsi="Calibri" w:eastAsia="Calibri" w:cs="Calibri"/>
          <w:sz w:val="20"/>
          <w:szCs w:val="20"/>
        </w:rPr>
      </w:pPr>
      <w:r>
        <w:rPr>
          <w:rFonts w:ascii="Calibri" w:hAnsi="Calibri" w:eastAsia="Calibri" w:cs="Calibri"/>
          <w:sz w:val="20"/>
          <w:szCs w:val="20"/>
          <w:rtl w:val="0"/>
        </w:rPr>
        <w:t>Total Score = Technical Score + Financial Score</w:t>
      </w:r>
    </w:p>
    <w:p w14:paraId="0000005D">
      <w:pPr>
        <w:spacing w:before="240" w:after="240"/>
        <w:rPr>
          <w:rFonts w:ascii="Calibri" w:hAnsi="Calibri" w:eastAsia="Calibri" w:cs="Calibri"/>
          <w:sz w:val="20"/>
          <w:szCs w:val="20"/>
        </w:rPr>
      </w:pPr>
      <w:r>
        <w:rPr>
          <w:rFonts w:ascii="Calibri" w:hAnsi="Calibri" w:eastAsia="Calibri" w:cs="Calibri"/>
          <w:sz w:val="20"/>
          <w:szCs w:val="20"/>
          <w:rtl w:val="0"/>
        </w:rPr>
        <w:t>The highest-ranked proposal will be recommended for contract award.</w:t>
      </w:r>
    </w:p>
    <w:p w14:paraId="0000005E">
      <w:pPr>
        <w:pStyle w:val="4"/>
        <w:keepNext w:val="0"/>
        <w:keepLines w:val="0"/>
        <w:spacing w:before="280"/>
        <w:rPr>
          <w:rFonts w:ascii="Calibri" w:hAnsi="Calibri" w:eastAsia="Calibri" w:cs="Calibri"/>
          <w:b/>
          <w:bCs/>
          <w:color w:val="981D4F"/>
          <w:sz w:val="24"/>
          <w:szCs w:val="24"/>
        </w:rPr>
      </w:pPr>
      <w:bookmarkStart w:id="20" w:name="_hqi966oiv1eo" w:colFirst="0" w:colLast="0"/>
      <w:bookmarkEnd w:id="20"/>
      <w:r>
        <w:rPr>
          <w:rFonts w:ascii="Calibri" w:hAnsi="Calibri" w:eastAsia="Calibri" w:cs="Calibri"/>
          <w:b/>
          <w:bCs/>
          <w:color w:val="981D4F"/>
          <w:sz w:val="24"/>
          <w:szCs w:val="24"/>
          <w:rtl w:val="0"/>
        </w:rPr>
        <w:t>14. Additional Information</w:t>
      </w:r>
    </w:p>
    <w:p w14:paraId="0000005F">
      <w:pPr>
        <w:numPr>
          <w:ilvl w:val="0"/>
          <w:numId w:val="8"/>
        </w:numPr>
        <w:spacing w:before="240" w:after="0" w:afterAutospacing="0"/>
        <w:ind w:left="720" w:hanging="360"/>
        <w:jc w:val="both"/>
        <w:rPr>
          <w:rFonts w:ascii="Calibri" w:hAnsi="Calibri" w:eastAsia="Calibri" w:cs="Calibri"/>
          <w:sz w:val="20"/>
          <w:szCs w:val="20"/>
        </w:rPr>
      </w:pPr>
      <w:r>
        <w:rPr>
          <w:rFonts w:ascii="Calibri" w:hAnsi="Calibri" w:eastAsia="Calibri" w:cs="Calibri"/>
          <w:sz w:val="20"/>
          <w:szCs w:val="20"/>
          <w:rtl w:val="0"/>
        </w:rPr>
        <w:t>AFSA reserves the right to accept or reject any application without assigning reasons.</w:t>
      </w:r>
    </w:p>
    <w:p w14:paraId="00000060">
      <w:pPr>
        <w:numPr>
          <w:ilvl w:val="0"/>
          <w:numId w:val="8"/>
        </w:numPr>
        <w:spacing w:before="0" w:beforeAutospacing="0" w:after="0" w:afterAutospacing="0"/>
        <w:ind w:left="720" w:hanging="360"/>
        <w:jc w:val="both"/>
        <w:rPr>
          <w:rFonts w:ascii="Calibri" w:hAnsi="Calibri" w:eastAsia="Calibri" w:cs="Calibri"/>
          <w:sz w:val="20"/>
          <w:szCs w:val="20"/>
        </w:rPr>
      </w:pPr>
      <w:r>
        <w:rPr>
          <w:rFonts w:ascii="Calibri" w:hAnsi="Calibri" w:eastAsia="Calibri" w:cs="Calibri"/>
          <w:sz w:val="20"/>
          <w:szCs w:val="20"/>
          <w:rtl w:val="0"/>
        </w:rPr>
        <w:t>Only shortlisted applicants will be contacted.</w:t>
      </w:r>
    </w:p>
    <w:p w14:paraId="00000061">
      <w:pPr>
        <w:numPr>
          <w:ilvl w:val="0"/>
          <w:numId w:val="8"/>
        </w:numPr>
        <w:spacing w:before="0" w:beforeAutospacing="0" w:after="0" w:afterAutospacing="0"/>
        <w:ind w:left="720" w:hanging="360"/>
        <w:jc w:val="both"/>
        <w:rPr>
          <w:rFonts w:ascii="Calibri" w:hAnsi="Calibri" w:eastAsia="Calibri" w:cs="Calibri"/>
          <w:sz w:val="20"/>
          <w:szCs w:val="20"/>
        </w:rPr>
      </w:pPr>
      <w:r>
        <w:rPr>
          <w:rFonts w:ascii="Calibri" w:hAnsi="Calibri" w:eastAsia="Calibri" w:cs="Calibri"/>
          <w:sz w:val="20"/>
          <w:szCs w:val="20"/>
          <w:rtl w:val="0"/>
        </w:rPr>
        <w:t>AFSA may request presentations or interviews as part of the evaluation process.</w:t>
      </w:r>
    </w:p>
    <w:p w14:paraId="00000062">
      <w:pPr>
        <w:numPr>
          <w:ilvl w:val="0"/>
          <w:numId w:val="8"/>
        </w:numPr>
        <w:spacing w:before="0" w:beforeAutospacing="0" w:after="0" w:afterAutospacing="0"/>
        <w:ind w:left="720" w:hanging="360"/>
        <w:jc w:val="both"/>
        <w:rPr>
          <w:rFonts w:ascii="Calibri" w:hAnsi="Calibri" w:eastAsia="Calibri" w:cs="Calibri"/>
          <w:sz w:val="20"/>
          <w:szCs w:val="20"/>
        </w:rPr>
      </w:pPr>
      <w:r>
        <w:rPr>
          <w:rFonts w:ascii="Calibri" w:hAnsi="Calibri" w:eastAsia="Calibri" w:cs="Calibri"/>
          <w:sz w:val="20"/>
          <w:szCs w:val="20"/>
          <w:rtl w:val="0"/>
        </w:rPr>
        <w:t>Applications that do not comply with the submission requirements may be disqualified.</w:t>
      </w:r>
    </w:p>
    <w:p w14:paraId="00000063">
      <w:pPr>
        <w:numPr>
          <w:ilvl w:val="0"/>
          <w:numId w:val="8"/>
        </w:numPr>
        <w:spacing w:before="0" w:beforeAutospacing="0" w:after="0" w:afterAutospacing="0"/>
        <w:ind w:left="720" w:hanging="360"/>
        <w:jc w:val="both"/>
        <w:rPr>
          <w:rFonts w:ascii="Calibri" w:hAnsi="Calibri" w:eastAsia="Calibri" w:cs="Calibri"/>
          <w:sz w:val="20"/>
          <w:szCs w:val="20"/>
          <w:u w:val="none"/>
        </w:rPr>
      </w:pPr>
      <w:r>
        <w:rPr>
          <w:rFonts w:ascii="Calibri" w:hAnsi="Calibri" w:eastAsia="Calibri" w:cs="Calibri"/>
          <w:sz w:val="20"/>
          <w:szCs w:val="20"/>
          <w:rtl w:val="0"/>
        </w:rPr>
        <w:t>All data, reports, and outputs produced under this assignment shall remain the property of AFSA. The consultant shall not publish or share outputs without prior written consent.</w:t>
      </w:r>
    </w:p>
    <w:p w14:paraId="00000064">
      <w:pPr>
        <w:numPr>
          <w:ilvl w:val="0"/>
          <w:numId w:val="8"/>
        </w:numPr>
        <w:spacing w:before="0" w:beforeAutospacing="0" w:after="240"/>
        <w:ind w:left="720" w:hanging="360"/>
        <w:jc w:val="both"/>
        <w:rPr>
          <w:rFonts w:ascii="Calibri" w:hAnsi="Calibri" w:eastAsia="Calibri" w:cs="Calibri"/>
          <w:sz w:val="20"/>
          <w:szCs w:val="20"/>
        </w:rPr>
      </w:pPr>
      <w:r>
        <w:rPr>
          <w:rFonts w:ascii="Calibri" w:hAnsi="Calibri" w:eastAsia="Calibri" w:cs="Calibri"/>
          <w:sz w:val="20"/>
          <w:szCs w:val="20"/>
          <w:rtl w:val="0"/>
        </w:rPr>
        <w:t xml:space="preserve">Consultants must disclose any actual or potential conflict of interest </w:t>
      </w:r>
    </w:p>
    <w:p w14:paraId="00000065">
      <w:pPr>
        <w:spacing w:before="240" w:after="240"/>
        <w:ind w:left="0" w:firstLine="0"/>
        <w:jc w:val="both"/>
        <w:rPr>
          <w:rFonts w:ascii="Calibri" w:hAnsi="Calibri" w:eastAsia="Calibri" w:cs="Calibri"/>
          <w:b/>
          <w:bCs/>
          <w:color w:val="981D4F"/>
          <w:sz w:val="24"/>
          <w:szCs w:val="24"/>
        </w:rPr>
      </w:pPr>
      <w:r>
        <w:rPr>
          <w:rFonts w:ascii="Calibri" w:hAnsi="Calibri" w:eastAsia="Calibri" w:cs="Calibri"/>
          <w:b/>
          <w:bCs/>
          <w:color w:val="981D4F"/>
          <w:sz w:val="24"/>
          <w:szCs w:val="24"/>
          <w:rtl w:val="0"/>
        </w:rPr>
        <w:t>15. AFSA Commitment</w:t>
      </w:r>
    </w:p>
    <w:p w14:paraId="00000066">
      <w:pPr>
        <w:spacing w:before="240" w:after="240"/>
        <w:ind w:left="0" w:firstLine="0"/>
        <w:jc w:val="both"/>
        <w:rPr>
          <w:rFonts w:ascii="Calibri" w:hAnsi="Calibri" w:eastAsia="Calibri" w:cs="Calibri"/>
          <w:sz w:val="20"/>
          <w:szCs w:val="20"/>
        </w:rPr>
      </w:pPr>
      <w:r>
        <w:rPr>
          <w:rFonts w:ascii="Calibri" w:hAnsi="Calibri" w:eastAsia="Calibri" w:cs="Calibri"/>
          <w:sz w:val="20"/>
          <w:szCs w:val="20"/>
          <w:rtl w:val="0"/>
        </w:rPr>
        <w:t>AFSA is committed to equity, inclusion, and safeguarding and encourages applications from diverse and gender-balanced teams, including regional experts.</w:t>
      </w:r>
    </w:p>
    <w:p w14:paraId="00000067">
      <w:pPr>
        <w:spacing w:after="200"/>
        <w:rPr>
          <w:rFonts w:ascii="Calibri" w:hAnsi="Calibri" w:eastAsia="Calibri" w:cs="Calibri"/>
          <w:b/>
          <w:bCs/>
          <w:color w:val="981D4F"/>
          <w:sz w:val="24"/>
          <w:szCs w:val="24"/>
        </w:rPr>
      </w:pPr>
      <w:r>
        <w:rPr>
          <w:rFonts w:ascii="Calibri" w:hAnsi="Calibri" w:eastAsia="Calibri" w:cs="Calibri"/>
          <w:b/>
          <w:bCs/>
          <w:color w:val="981D4F"/>
          <w:sz w:val="24"/>
          <w:szCs w:val="24"/>
          <w:rtl w:val="0"/>
        </w:rPr>
        <w:t>16. Requests for Clarification</w:t>
      </w:r>
    </w:p>
    <w:p w14:paraId="00000068">
      <w:pPr>
        <w:rPr>
          <w:rFonts w:ascii="Calibri" w:hAnsi="Calibri" w:eastAsia="Calibri" w:cs="Calibri"/>
          <w:sz w:val="20"/>
          <w:szCs w:val="20"/>
        </w:rPr>
      </w:pPr>
      <w:r>
        <w:rPr>
          <w:rFonts w:ascii="Calibri" w:hAnsi="Calibri" w:eastAsia="Calibri" w:cs="Calibri"/>
          <w:sz w:val="20"/>
          <w:szCs w:val="20"/>
          <w:rtl w:val="0"/>
        </w:rPr>
        <w:t xml:space="preserve">Requests for clarification may be submitted to </w:t>
      </w:r>
      <w:r>
        <w:fldChar w:fldCharType="begin"/>
      </w:r>
      <w:r>
        <w:instrText xml:space="preserve"> HYPERLINK "mailto:afsa@afsafrica.org" \h </w:instrText>
      </w:r>
      <w:r>
        <w:fldChar w:fldCharType="separate"/>
      </w:r>
      <w:r>
        <w:rPr>
          <w:rFonts w:ascii="Calibri" w:hAnsi="Calibri" w:eastAsia="Calibri" w:cs="Calibri"/>
          <w:color w:val="1155CC"/>
          <w:sz w:val="20"/>
          <w:szCs w:val="20"/>
          <w:u w:val="single"/>
          <w:rtl w:val="0"/>
        </w:rPr>
        <w:t>afsa@afsafrica.org</w:t>
      </w:r>
      <w:r>
        <w:rPr>
          <w:rFonts w:ascii="Calibri" w:hAnsi="Calibri" w:eastAsia="Calibri" w:cs="Calibri"/>
          <w:color w:val="1155CC"/>
          <w:sz w:val="20"/>
          <w:szCs w:val="20"/>
          <w:u w:val="single"/>
          <w:rtl w:val="0"/>
        </w:rPr>
        <w:fldChar w:fldCharType="end"/>
      </w:r>
      <w:r>
        <w:rPr>
          <w:rFonts w:ascii="Calibri" w:hAnsi="Calibri" w:eastAsia="Calibri" w:cs="Calibri"/>
          <w:sz w:val="20"/>
          <w:szCs w:val="20"/>
          <w:rtl w:val="0"/>
        </w:rPr>
        <w:t xml:space="preserve"> or </w:t>
      </w:r>
      <w:r>
        <w:fldChar w:fldCharType="begin"/>
      </w:r>
      <w:r>
        <w:instrText xml:space="preserve"> HYPERLINK "mailto:nicholas.omoding@afsafrica.org" \h </w:instrText>
      </w:r>
      <w:r>
        <w:fldChar w:fldCharType="separate"/>
      </w:r>
      <w:r>
        <w:rPr>
          <w:rFonts w:ascii="Calibri" w:hAnsi="Calibri" w:eastAsia="Calibri" w:cs="Calibri"/>
          <w:color w:val="1155CC"/>
          <w:sz w:val="20"/>
          <w:szCs w:val="20"/>
          <w:u w:val="single"/>
          <w:rtl w:val="0"/>
        </w:rPr>
        <w:t>nicholas.omoding@afsafrica.org</w:t>
      </w:r>
      <w:r>
        <w:rPr>
          <w:rFonts w:ascii="Calibri" w:hAnsi="Calibri" w:eastAsia="Calibri" w:cs="Calibri"/>
          <w:color w:val="1155CC"/>
          <w:sz w:val="20"/>
          <w:szCs w:val="20"/>
          <w:u w:val="single"/>
          <w:rtl w:val="0"/>
        </w:rPr>
        <w:fldChar w:fldCharType="end"/>
      </w:r>
    </w:p>
    <w:p w14:paraId="00000069">
      <w:pPr>
        <w:rPr>
          <w:rFonts w:ascii="Calibri" w:hAnsi="Calibri" w:eastAsia="Calibri" w:cs="Calibri"/>
          <w:sz w:val="20"/>
          <w:szCs w:val="20"/>
        </w:rPr>
      </w:pPr>
    </w:p>
    <w:p w14:paraId="0000006A">
      <w:pPr>
        <w:spacing w:before="240" w:after="240"/>
        <w:rPr>
          <w:rFonts w:ascii="Calibri" w:hAnsi="Calibri" w:eastAsia="Calibri" w:cs="Calibri"/>
          <w:sz w:val="20"/>
          <w:szCs w:val="20"/>
        </w:rPr>
      </w:pPr>
    </w:p>
    <w:p w14:paraId="0000006B">
      <w:pPr>
        <w:rPr>
          <w:rFonts w:ascii="Calibri" w:hAnsi="Calibri" w:eastAsia="Calibri" w:cs="Calibri"/>
          <w:sz w:val="20"/>
          <w:szCs w:val="20"/>
        </w:rPr>
      </w:pPr>
    </w:p>
    <w:sectPr>
      <w:headerReference r:id="rId5" w:type="default"/>
      <w:pgSz w:w="12240" w:h="15840"/>
      <w:pgMar w:top="1440" w:right="1440" w:bottom="1440" w:left="144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embedRegular r:id="rId1" w:fontKey="{FD052293-DFE2-4332-A153-C7833CAA0C5C}"/>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embedRegular r:id="rId2" w:fontKey="{34A5F382-7311-4195-AD93-66E26DE53C9C}"/>
  </w:font>
  <w:font w:name="Wingdings">
    <w:panose1 w:val="05000000000000000000"/>
    <w:charset w:val="02"/>
    <w:family w:val="auto"/>
    <w:pitch w:val="default"/>
    <w:sig w:usb0="00000000" w:usb1="00000000" w:usb2="00000000" w:usb3="00000000" w:csb0="80000000" w:csb1="00000000"/>
    <w:embedRegular r:id="rId3" w:fontKey="{D70F6E46-0E03-4E6B-ACEB-E62DF896D3F7}"/>
  </w:font>
  <w:font w:name="Calibri">
    <w:panose1 w:val="020F0502020204030204"/>
    <w:charset w:val="00"/>
    <w:family w:val="swiss"/>
    <w:pitch w:val="default"/>
    <w:sig w:usb0="E4002EFF" w:usb1="C200247B" w:usb2="00000009" w:usb3="00000000" w:csb0="200001FF" w:csb1="00000000"/>
    <w:embedRegular r:id="rId4" w:fontKey="{243FD49C-AD74-4052-A00F-099178BAD5F0}"/>
  </w:font>
  <w:font w:name="等线">
    <w:altName w:val="Microsoft YaHei"/>
    <w:panose1 w:val="00000000000000000000"/>
    <w:charset w:val="86"/>
    <w:family w:val="auto"/>
    <w:pitch w:val="default"/>
    <w:sig w:usb0="00000000" w:usb1="00000000" w:usb2="00000000" w:usb3="00000000" w:csb0="00000000" w:csb1="00000000"/>
  </w:font>
  <w:font w:name="Arial">
    <w:panose1 w:val="020B0604020202020204"/>
    <w:charset w:val="86"/>
    <w:family w:val="swiss"/>
    <w:pitch w:val="default"/>
    <w:sig w:usb0="E0002EFF" w:usb1="C000785B" w:usb2="00000009" w:usb3="00000000" w:csb0="400001FF" w:csb1="FFFF0000"/>
    <w:embedRegular r:id="rId5" w:fontKey="{19890C53-45A5-433C-A27D-0BBC7E8D9C7B}"/>
  </w:font>
  <w:font w:name="Cambria Math">
    <w:panose1 w:val="02040503050406030204"/>
    <w:charset w:val="00"/>
    <w:family w:val="auto"/>
    <w:pitch w:val="default"/>
    <w:sig w:usb0="E00006FF" w:usb1="420024FF" w:usb2="02000000" w:usb3="00000000" w:csb0="2000019F" w:csb1="00000000"/>
    <w:embedRegular r:id="rId6" w:fontKey="{5920F736-34F0-46DA-90E3-CC9DF5B07114}"/>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6C">
    <w:pPr>
      <w:spacing w:before="240" w:after="240"/>
      <w:jc w:val="center"/>
      <w:rPr>
        <w:rFonts w:ascii="Calibri" w:hAnsi="Calibri" w:eastAsia="Calibri" w:cs="Calibri"/>
        <w:sz w:val="20"/>
        <w:szCs w:val="20"/>
      </w:rPr>
    </w:pPr>
    <w:r>
      <w:rPr>
        <w:rFonts w:ascii="Calibri" w:hAnsi="Calibri" w:eastAsia="Calibri" w:cs="Calibri"/>
        <w:sz w:val="20"/>
        <w:szCs w:val="20"/>
      </w:rPr>
      <w:drawing>
        <wp:inline distT="114300" distB="114300" distL="114300" distR="114300">
          <wp:extent cx="1699895" cy="48704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1"/>
                  <a:srcRect/>
                  <a:stretch>
                    <a:fillRect/>
                  </a:stretch>
                </pic:blipFill>
                <pic:spPr>
                  <a:xfrm>
                    <a:off x="0" y="0"/>
                    <a:ext cx="1700213" cy="487394"/>
                  </a:xfrm>
                  <a:prstGeom prst="rect">
                    <a:avLst/>
                  </a:prstGeom>
                </pic:spPr>
              </pic:pic>
            </a:graphicData>
          </a:graphic>
        </wp:inline>
      </w:drawing>
    </w:r>
  </w:p>
  <w:p w14:paraId="0000006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1">
    <w:nsid w:val="BF205925"/>
    <w:multiLevelType w:val="multilevel"/>
    <w:tmpl w:val="BF205925"/>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2">
    <w:nsid w:val="CF092B84"/>
    <w:multiLevelType w:val="multilevel"/>
    <w:tmpl w:val="CF092B84"/>
    <w:lvl w:ilvl="0" w:tentative="0">
      <w:start w:val="1"/>
      <w:numFmt w:val="lowerLetter"/>
      <w:lvlText w:val="%1."/>
      <w:lvlJc w:val="left"/>
      <w:pPr>
        <w:ind w:left="720" w:hanging="360"/>
      </w:pPr>
      <w:rPr>
        <w:u w:val="none"/>
      </w:rPr>
    </w:lvl>
    <w:lvl w:ilvl="1" w:tentative="0">
      <w:start w:val="1"/>
      <w:numFmt w:val="lowerRoman"/>
      <w:lvlText w:val="%2."/>
      <w:lvlJc w:val="right"/>
      <w:pPr>
        <w:ind w:left="1440" w:hanging="360"/>
      </w:pPr>
      <w:rPr>
        <w:u w:val="none"/>
      </w:rPr>
    </w:lvl>
    <w:lvl w:ilvl="2" w:tentative="0">
      <w:start w:val="1"/>
      <w:numFmt w:val="decimal"/>
      <w:lvlText w:val="%3."/>
      <w:lvlJc w:val="left"/>
      <w:pPr>
        <w:ind w:left="2160" w:hanging="360"/>
      </w:pPr>
      <w:rPr>
        <w:u w:val="none"/>
      </w:rPr>
    </w:lvl>
    <w:lvl w:ilvl="3" w:tentative="0">
      <w:start w:val="1"/>
      <w:numFmt w:val="lowerLetter"/>
      <w:lvlText w:val="%4."/>
      <w:lvlJc w:val="left"/>
      <w:pPr>
        <w:ind w:left="2880" w:hanging="360"/>
      </w:pPr>
      <w:rPr>
        <w:u w:val="none"/>
      </w:rPr>
    </w:lvl>
    <w:lvl w:ilvl="4" w:tentative="0">
      <w:start w:val="1"/>
      <w:numFmt w:val="lowerRoman"/>
      <w:lvlText w:val="%5."/>
      <w:lvlJc w:val="right"/>
      <w:pPr>
        <w:ind w:left="3600" w:hanging="360"/>
      </w:pPr>
      <w:rPr>
        <w:u w:val="none"/>
      </w:rPr>
    </w:lvl>
    <w:lvl w:ilvl="5" w:tentative="0">
      <w:start w:val="1"/>
      <w:numFmt w:val="decimal"/>
      <w:lvlText w:val="%6."/>
      <w:lvlJc w:val="left"/>
      <w:pPr>
        <w:ind w:left="4320" w:hanging="360"/>
      </w:pPr>
      <w:rPr>
        <w:u w:val="none"/>
      </w:rPr>
    </w:lvl>
    <w:lvl w:ilvl="6" w:tentative="0">
      <w:start w:val="1"/>
      <w:numFmt w:val="lowerLetter"/>
      <w:lvlText w:val="%7."/>
      <w:lvlJc w:val="left"/>
      <w:pPr>
        <w:ind w:left="5040" w:hanging="360"/>
      </w:pPr>
      <w:rPr>
        <w:u w:val="none"/>
      </w:rPr>
    </w:lvl>
    <w:lvl w:ilvl="7" w:tentative="0">
      <w:start w:val="1"/>
      <w:numFmt w:val="lowerRoman"/>
      <w:lvlText w:val="%8."/>
      <w:lvlJc w:val="right"/>
      <w:pPr>
        <w:ind w:left="5760" w:hanging="360"/>
      </w:pPr>
      <w:rPr>
        <w:u w:val="none"/>
      </w:rPr>
    </w:lvl>
    <w:lvl w:ilvl="8" w:tentative="0">
      <w:start w:val="1"/>
      <w:numFmt w:val="decimal"/>
      <w:lvlText w:val="%9."/>
      <w:lvlJc w:val="left"/>
      <w:pPr>
        <w:ind w:left="6480" w:hanging="360"/>
      </w:pPr>
      <w:rPr>
        <w:u w:val="none"/>
      </w:rPr>
    </w:lvl>
  </w:abstractNum>
  <w:abstractNum w:abstractNumId="3">
    <w:nsid w:val="0053208E"/>
    <w:multiLevelType w:val="multilevel"/>
    <w:tmpl w:val="0053208E"/>
    <w:lvl w:ilvl="0" w:tentative="0">
      <w:start w:val="1"/>
      <w:numFmt w:val="upperLetter"/>
      <w:lvlText w:val="%1."/>
      <w:lvlJc w:val="left"/>
      <w:pPr>
        <w:ind w:left="720" w:hanging="360"/>
      </w:pPr>
      <w:rPr>
        <w:u w:val="none"/>
      </w:rPr>
    </w:lvl>
    <w:lvl w:ilvl="1" w:tentative="0">
      <w:start w:val="1"/>
      <w:numFmt w:val="lowerLetter"/>
      <w:lvlText w:val="%2."/>
      <w:lvlJc w:val="left"/>
      <w:pPr>
        <w:ind w:left="1440" w:hanging="360"/>
      </w:pPr>
      <w:rPr>
        <w:u w:val="none"/>
      </w:rPr>
    </w:lvl>
    <w:lvl w:ilvl="2" w:tentative="0">
      <w:start w:val="1"/>
      <w:numFmt w:val="lowerRoman"/>
      <w:lvlText w:val="%3."/>
      <w:lvlJc w:val="right"/>
      <w:pPr>
        <w:ind w:left="2160" w:hanging="360"/>
      </w:pPr>
      <w:rPr>
        <w:u w:val="none"/>
      </w:rPr>
    </w:lvl>
    <w:lvl w:ilvl="3" w:tentative="0">
      <w:start w:val="1"/>
      <w:numFmt w:val="decimal"/>
      <w:lvlText w:val="%4."/>
      <w:lvlJc w:val="left"/>
      <w:pPr>
        <w:ind w:left="2880" w:hanging="360"/>
      </w:pPr>
      <w:rPr>
        <w:u w:val="none"/>
      </w:rPr>
    </w:lvl>
    <w:lvl w:ilvl="4" w:tentative="0">
      <w:start w:val="1"/>
      <w:numFmt w:val="lowerLetter"/>
      <w:lvlText w:val="%5."/>
      <w:lvlJc w:val="left"/>
      <w:pPr>
        <w:ind w:left="3600" w:hanging="360"/>
      </w:pPr>
      <w:rPr>
        <w:u w:val="none"/>
      </w:rPr>
    </w:lvl>
    <w:lvl w:ilvl="5" w:tentative="0">
      <w:start w:val="1"/>
      <w:numFmt w:val="lowerRoman"/>
      <w:lvlText w:val="%6."/>
      <w:lvlJc w:val="right"/>
      <w:pPr>
        <w:ind w:left="4320" w:hanging="360"/>
      </w:pPr>
      <w:rPr>
        <w:u w:val="none"/>
      </w:rPr>
    </w:lvl>
    <w:lvl w:ilvl="6" w:tentative="0">
      <w:start w:val="1"/>
      <w:numFmt w:val="decimal"/>
      <w:lvlText w:val="%7."/>
      <w:lvlJc w:val="left"/>
      <w:pPr>
        <w:ind w:left="5040" w:hanging="360"/>
      </w:pPr>
      <w:rPr>
        <w:u w:val="none"/>
      </w:rPr>
    </w:lvl>
    <w:lvl w:ilvl="7" w:tentative="0">
      <w:start w:val="1"/>
      <w:numFmt w:val="lowerLetter"/>
      <w:lvlText w:val="%8."/>
      <w:lvlJc w:val="left"/>
      <w:pPr>
        <w:ind w:left="5760" w:hanging="360"/>
      </w:pPr>
      <w:rPr>
        <w:u w:val="none"/>
      </w:rPr>
    </w:lvl>
    <w:lvl w:ilvl="8" w:tentative="0">
      <w:start w:val="1"/>
      <w:numFmt w:val="lowerRoman"/>
      <w:lvlText w:val="%9."/>
      <w:lvlJc w:val="right"/>
      <w:pPr>
        <w:ind w:left="6480" w:hanging="360"/>
      </w:pPr>
      <w:rPr>
        <w:u w:val="none"/>
      </w:rPr>
    </w:lvl>
  </w:abstractNum>
  <w:abstractNum w:abstractNumId="4">
    <w:nsid w:val="03D62ECE"/>
    <w:multiLevelType w:val="multilevel"/>
    <w:tmpl w:val="03D62ECE"/>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5">
    <w:nsid w:val="25B654F3"/>
    <w:multiLevelType w:val="multilevel"/>
    <w:tmpl w:val="25B654F3"/>
    <w:lvl w:ilvl="0" w:tentative="0">
      <w:start w:val="1"/>
      <w:numFmt w:val="lowerLetter"/>
      <w:lvlText w:val="%1."/>
      <w:lvlJc w:val="left"/>
      <w:pPr>
        <w:ind w:left="720" w:hanging="360"/>
      </w:pPr>
      <w:rPr>
        <w:u w:val="none"/>
      </w:rPr>
    </w:lvl>
    <w:lvl w:ilvl="1" w:tentative="0">
      <w:start w:val="1"/>
      <w:numFmt w:val="lowerRoman"/>
      <w:lvlText w:val="%2."/>
      <w:lvlJc w:val="right"/>
      <w:pPr>
        <w:ind w:left="1440" w:hanging="360"/>
      </w:pPr>
      <w:rPr>
        <w:u w:val="none"/>
      </w:rPr>
    </w:lvl>
    <w:lvl w:ilvl="2" w:tentative="0">
      <w:start w:val="1"/>
      <w:numFmt w:val="decimal"/>
      <w:lvlText w:val="%3."/>
      <w:lvlJc w:val="left"/>
      <w:pPr>
        <w:ind w:left="2160" w:hanging="360"/>
      </w:pPr>
      <w:rPr>
        <w:u w:val="none"/>
      </w:rPr>
    </w:lvl>
    <w:lvl w:ilvl="3" w:tentative="0">
      <w:start w:val="1"/>
      <w:numFmt w:val="lowerLetter"/>
      <w:lvlText w:val="%4."/>
      <w:lvlJc w:val="left"/>
      <w:pPr>
        <w:ind w:left="2880" w:hanging="360"/>
      </w:pPr>
      <w:rPr>
        <w:u w:val="none"/>
      </w:rPr>
    </w:lvl>
    <w:lvl w:ilvl="4" w:tentative="0">
      <w:start w:val="1"/>
      <w:numFmt w:val="lowerRoman"/>
      <w:lvlText w:val="%5."/>
      <w:lvlJc w:val="right"/>
      <w:pPr>
        <w:ind w:left="3600" w:hanging="360"/>
      </w:pPr>
      <w:rPr>
        <w:u w:val="none"/>
      </w:rPr>
    </w:lvl>
    <w:lvl w:ilvl="5" w:tentative="0">
      <w:start w:val="1"/>
      <w:numFmt w:val="decimal"/>
      <w:lvlText w:val="%6."/>
      <w:lvlJc w:val="left"/>
      <w:pPr>
        <w:ind w:left="4320" w:hanging="360"/>
      </w:pPr>
      <w:rPr>
        <w:u w:val="none"/>
      </w:rPr>
    </w:lvl>
    <w:lvl w:ilvl="6" w:tentative="0">
      <w:start w:val="1"/>
      <w:numFmt w:val="lowerLetter"/>
      <w:lvlText w:val="%7."/>
      <w:lvlJc w:val="left"/>
      <w:pPr>
        <w:ind w:left="5040" w:hanging="360"/>
      </w:pPr>
      <w:rPr>
        <w:u w:val="none"/>
      </w:rPr>
    </w:lvl>
    <w:lvl w:ilvl="7" w:tentative="0">
      <w:start w:val="1"/>
      <w:numFmt w:val="lowerRoman"/>
      <w:lvlText w:val="%8."/>
      <w:lvlJc w:val="right"/>
      <w:pPr>
        <w:ind w:left="5760" w:hanging="360"/>
      </w:pPr>
      <w:rPr>
        <w:u w:val="none"/>
      </w:rPr>
    </w:lvl>
    <w:lvl w:ilvl="8" w:tentative="0">
      <w:start w:val="1"/>
      <w:numFmt w:val="decimal"/>
      <w:lvlText w:val="%9."/>
      <w:lvlJc w:val="left"/>
      <w:pPr>
        <w:ind w:left="6480" w:hanging="360"/>
      </w:pPr>
      <w:rPr>
        <w:u w:val="none"/>
      </w:rPr>
    </w:lvl>
  </w:abstractNum>
  <w:abstractNum w:abstractNumId="6">
    <w:nsid w:val="59ADCABA"/>
    <w:multiLevelType w:val="multilevel"/>
    <w:tmpl w:val="59ADCABA"/>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7">
    <w:nsid w:val="72183CF9"/>
    <w:multiLevelType w:val="multilevel"/>
    <w:tmpl w:val="72183CF9"/>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documentProtection w:enforcement="0"/>
  <w:defaultTabStop w:val="720"/>
  <w:footnotePr>
    <w:footnote w:id="0"/>
    <w:footnote w:id="1"/>
  </w:footnotePr>
  <w:endnotePr>
    <w:endnote w:id="0"/>
    <w:endnote w:id="1"/>
  </w:endnotePr>
  <w:compat>
    <w:compatSetting w:name="compatibilityMode" w:uri="http://schemas.microsoft.com/office/word" w:val="15"/>
  </w:compat>
  <w:rsids>
    <w:rsidRoot w:val="00000000"/>
    <w:rsid w:val="0B943C03"/>
    <w:rsid w:val="18A1303A"/>
    <w:rsid w:val="235A6AF5"/>
    <w:rsid w:val="2DB4438A"/>
    <w:rsid w:val="34B1374D"/>
    <w:rsid w:val="3B086FE8"/>
    <w:rsid w:val="4AD25D50"/>
    <w:rsid w:val="4DFB38A0"/>
    <w:rsid w:val="656D1CFF"/>
    <w:rsid w:val="665A00E6"/>
    <w:rsid w:val="69991B18"/>
    <w:rsid w:val="6C261920"/>
    <w:rsid w:val="6E4F26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eastAsia="Arial" w:cs="Arial"/>
      <w:sz w:val="22"/>
      <w:szCs w:val="22"/>
      <w:lang w:val="en"/>
    </w:rPr>
  </w:style>
  <w:style w:type="paragraph" w:styleId="2">
    <w:name w:val="heading 1"/>
    <w:basedOn w:val="1"/>
    <w:next w:val="1"/>
    <w:qFormat/>
    <w:uiPriority w:val="0"/>
    <w:pPr>
      <w:keepNext/>
      <w:keepLines/>
      <w:pageBreakBefore w:val="0"/>
      <w:spacing w:before="400" w:after="120"/>
    </w:pPr>
    <w:rPr>
      <w:sz w:val="40"/>
      <w:szCs w:val="40"/>
    </w:rPr>
  </w:style>
  <w:style w:type="paragraph" w:styleId="3">
    <w:name w:val="heading 2"/>
    <w:basedOn w:val="1"/>
    <w:next w:val="1"/>
    <w:qFormat/>
    <w:uiPriority w:val="0"/>
    <w:pPr>
      <w:keepNext/>
      <w:keepLines/>
      <w:pageBreakBefore w:val="0"/>
      <w:spacing w:before="360" w:after="120"/>
    </w:pPr>
    <w:rPr>
      <w:sz w:val="32"/>
      <w:szCs w:val="32"/>
    </w:rPr>
  </w:style>
  <w:style w:type="paragraph" w:styleId="4">
    <w:name w:val="heading 3"/>
    <w:basedOn w:val="1"/>
    <w:next w:val="1"/>
    <w:qFormat/>
    <w:uiPriority w:val="0"/>
    <w:pPr>
      <w:keepNext/>
      <w:keepLines/>
      <w:pageBreakBefore w:val="0"/>
      <w:spacing w:before="320" w:after="80"/>
    </w:pPr>
    <w:rPr>
      <w:color w:val="434343"/>
      <w:sz w:val="28"/>
      <w:szCs w:val="28"/>
    </w:rPr>
  </w:style>
  <w:style w:type="paragraph" w:styleId="5">
    <w:name w:val="heading 4"/>
    <w:basedOn w:val="1"/>
    <w:next w:val="1"/>
    <w:qFormat/>
    <w:uiPriority w:val="0"/>
    <w:pPr>
      <w:keepNext/>
      <w:keepLines/>
      <w:pageBreakBefore w:val="0"/>
      <w:spacing w:before="280" w:after="80"/>
    </w:pPr>
    <w:rPr>
      <w:color w:val="666666"/>
      <w:sz w:val="24"/>
      <w:szCs w:val="24"/>
    </w:rPr>
  </w:style>
  <w:style w:type="paragraph" w:styleId="6">
    <w:name w:val="heading 5"/>
    <w:basedOn w:val="1"/>
    <w:next w:val="1"/>
    <w:qFormat/>
    <w:uiPriority w:val="0"/>
    <w:pPr>
      <w:keepNext/>
      <w:keepLines/>
      <w:pageBreakBefore w:val="0"/>
      <w:spacing w:before="240" w:after="80"/>
    </w:pPr>
    <w:rPr>
      <w:color w:val="666666"/>
      <w:sz w:val="22"/>
      <w:szCs w:val="22"/>
    </w:rPr>
  </w:style>
  <w:style w:type="paragraph" w:styleId="7">
    <w:name w:val="heading 6"/>
    <w:basedOn w:val="1"/>
    <w:next w:val="1"/>
    <w:qFormat/>
    <w:uiPriority w:val="0"/>
    <w:pPr>
      <w:keepNext/>
      <w:keepLines/>
      <w:pageBreakBefore w:val="0"/>
      <w:spacing w:before="240" w:after="80"/>
    </w:pPr>
    <w:rPr>
      <w:i/>
      <w:iCs/>
      <w:color w:val="666666"/>
      <w:sz w:val="22"/>
      <w:szCs w:val="22"/>
    </w:rPr>
  </w:style>
  <w:style w:type="character" w:default="1" w:styleId="8">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10">
    <w:name w:val="footer"/>
    <w:basedOn w:val="1"/>
    <w:uiPriority w:val="0"/>
    <w:pPr>
      <w:tabs>
        <w:tab w:val="center" w:pos="4153"/>
        <w:tab w:val="right" w:pos="8306"/>
      </w:tabs>
      <w:snapToGrid w:val="0"/>
      <w:jc w:val="left"/>
    </w:pPr>
    <w:rPr>
      <w:sz w:val="18"/>
      <w:szCs w:val="18"/>
    </w:rPr>
  </w:style>
  <w:style w:type="paragraph" w:styleId="11">
    <w:name w:val="Subtitle"/>
    <w:basedOn w:val="1"/>
    <w:next w:val="1"/>
    <w:qFormat/>
    <w:uiPriority w:val="0"/>
    <w:pPr>
      <w:keepNext/>
      <w:keepLines/>
      <w:pageBreakBefore w:val="0"/>
      <w:spacing w:before="0" w:after="320"/>
    </w:pPr>
    <w:rPr>
      <w:rFonts w:ascii="Arial" w:hAnsi="Arial" w:eastAsia="Arial" w:cs="Arial"/>
      <w:color w:val="666666"/>
      <w:sz w:val="30"/>
      <w:szCs w:val="30"/>
    </w:rPr>
  </w:style>
  <w:style w:type="table" w:styleId="12">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Title"/>
    <w:basedOn w:val="1"/>
    <w:next w:val="1"/>
    <w:qFormat/>
    <w:uiPriority w:val="0"/>
    <w:pPr>
      <w:keepNext/>
      <w:keepLines/>
      <w:pageBreakBefore w:val="0"/>
      <w:spacing w:before="0" w:after="60"/>
    </w:pPr>
    <w:rPr>
      <w:sz w:val="52"/>
      <w:szCs w:val="52"/>
    </w:rPr>
  </w:style>
  <w:style w:type="table" w:customStyle="1" w:styleId="14">
    <w:name w:val="TableNormal"/>
    <w:qFormat/>
    <w:uiPriority w:val="0"/>
    <w:tblPr>
      <w:tblCellMar>
        <w:top w:w="100" w:type="dxa"/>
        <w:left w:w="100" w:type="dxa"/>
        <w:bottom w:w="100" w:type="dxa"/>
        <w:right w:w="100" w:type="dxa"/>
      </w:tblCellMar>
    </w:tblPr>
  </w:style>
  <w:style w:type="table" w:customStyle="1" w:styleId="15">
    <w:name w:val="_Style 10"/>
    <w:basedOn w:val="14"/>
    <w:qFormat/>
    <w:uiPriority w:val="0"/>
  </w:style>
  <w:style w:type="table" w:customStyle="1" w:styleId="16">
    <w:name w:val="_Style 11"/>
    <w:basedOn w:val="1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5</Pages>
  <Words>1329</Words>
  <Characters>8379</Characters>
  <TotalTime>8</TotalTime>
  <ScaleCrop>false</ScaleCrop>
  <LinksUpToDate>false</LinksUpToDate>
  <CharactersWithSpaces>9589</CharactersWithSpaces>
  <Application>WPS Office_12.1.0.26880_F1E327BC-269C-435d-A152-05C5408002CA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2026-06-02T06:15:00Z</dcterms:created>
  <dc:creator>HP</dc:creator>
  <cp:lastModifiedBy>Omoding Nicholas</cp:lastModifiedBy>
  <dcterms:modified xsi:type="dcterms:W3CDTF">2026-06-04T12:54:33Z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eyJoZGlkIjoiMGI4YTY2NzNjYzhhMDBjYjhiZDFjNDRhZjk5ZjcyM2MiLCJ1c2VySWQiOiIzNzI4MTA5NTQ0NDI1In0=</vt:lpwstr>
  </property>
  <property fmtid="{D5CDD505-2E9C-101B-9397-08002B2CF9AE}" pid="3" name="KSOProductBuildVer">
    <vt:lpwstr>1033-12.1.0.26880</vt:lpwstr>
  </property>
  <property fmtid="{D5CDD505-2E9C-101B-9397-08002B2CF9AE}" pid="4" name="ICV">
    <vt:lpwstr>EE784AEE84BA4D58BBF6D0A1B15A2F74_12</vt:lpwstr>
  </property>
</Properties>
</file>