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C9F75" w14:textId="77777777" w:rsidR="0005733C" w:rsidRDefault="00875FD9">
      <w:pPr>
        <w:spacing w:before="160" w:after="120"/>
        <w:jc w:val="center"/>
        <w:rPr>
          <w:b/>
          <w:color w:val="1F4E79"/>
          <w:sz w:val="32"/>
        </w:rPr>
      </w:pPr>
      <w:r w:rsidRPr="00136241">
        <w:rPr>
          <w:rFonts w:ascii="Calibri Light" w:hAnsi="Calibri Light" w:cs="Calibri Light"/>
          <w:noProof/>
          <w:sz w:val="22"/>
        </w:rPr>
        <w:drawing>
          <wp:anchor distT="0" distB="0" distL="114300" distR="114300" simplePos="0" relativeHeight="251659264" behindDoc="0" locked="0" layoutInCell="1" allowOverlap="1" wp14:anchorId="09E86A31" wp14:editId="75851836">
            <wp:simplePos x="0" y="0"/>
            <wp:positionH relativeFrom="margin">
              <wp:posOffset>1899081</wp:posOffset>
            </wp:positionH>
            <wp:positionV relativeFrom="paragraph">
              <wp:posOffset>-2049</wp:posOffset>
            </wp:positionV>
            <wp:extent cx="2343150" cy="739775"/>
            <wp:effectExtent l="0" t="0" r="0" b="3175"/>
            <wp:wrapSquare wrapText="bothSides"/>
            <wp:docPr id="328956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56325" name="Picture 3289563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3150" cy="739775"/>
                    </a:xfrm>
                    <a:prstGeom prst="rect">
                      <a:avLst/>
                    </a:prstGeom>
                  </pic:spPr>
                </pic:pic>
              </a:graphicData>
            </a:graphic>
            <wp14:sizeRelH relativeFrom="page">
              <wp14:pctWidth>0</wp14:pctWidth>
            </wp14:sizeRelH>
            <wp14:sizeRelV relativeFrom="page">
              <wp14:pctHeight>0</wp14:pctHeight>
            </wp14:sizeRelV>
          </wp:anchor>
        </w:drawing>
      </w:r>
    </w:p>
    <w:p w14:paraId="3AFDF23E" w14:textId="77777777" w:rsidR="00875FD9" w:rsidRDefault="00875FD9">
      <w:pPr>
        <w:spacing w:before="160" w:after="120"/>
        <w:jc w:val="center"/>
        <w:rPr>
          <w:b/>
          <w:color w:val="981C4F"/>
          <w:sz w:val="32"/>
        </w:rPr>
      </w:pPr>
    </w:p>
    <w:p w14:paraId="3B430AD7" w14:textId="77777777" w:rsidR="00875FD9" w:rsidRDefault="00875FD9">
      <w:pPr>
        <w:spacing w:before="160" w:after="120"/>
        <w:jc w:val="center"/>
        <w:rPr>
          <w:b/>
          <w:color w:val="981C4F"/>
          <w:sz w:val="32"/>
        </w:rPr>
      </w:pPr>
    </w:p>
    <w:p w14:paraId="1603BD8A" w14:textId="77777777" w:rsidR="00F17EEF" w:rsidRPr="00C3218E" w:rsidRDefault="00000000">
      <w:pPr>
        <w:spacing w:before="160" w:after="120"/>
        <w:jc w:val="center"/>
        <w:rPr>
          <w:rFonts w:ascii="Calibri Light" w:hAnsi="Calibri Light" w:cs="Calibri Light"/>
          <w:color w:val="981C4F"/>
        </w:rPr>
      </w:pPr>
      <w:r w:rsidRPr="00C3218E">
        <w:rPr>
          <w:rFonts w:ascii="Calibri Light" w:hAnsi="Calibri Light" w:cs="Calibri Light"/>
          <w:b/>
          <w:color w:val="981C4F"/>
          <w:sz w:val="32"/>
        </w:rPr>
        <w:t>REQUEST FOR EXPRESSION OF INTEREST (EOI)</w:t>
      </w:r>
    </w:p>
    <w:p w14:paraId="288B0C09" w14:textId="77777777" w:rsidR="00F17EEF" w:rsidRPr="00C3218E" w:rsidRDefault="00000000">
      <w:pPr>
        <w:spacing w:after="80"/>
        <w:jc w:val="center"/>
        <w:rPr>
          <w:rFonts w:ascii="Calibri Light" w:hAnsi="Calibri Light" w:cs="Calibri Light"/>
        </w:rPr>
      </w:pPr>
      <w:r w:rsidRPr="00C3218E">
        <w:rPr>
          <w:rFonts w:ascii="Calibri Light" w:hAnsi="Calibri Light" w:cs="Calibri Light"/>
          <w:b/>
          <w:sz w:val="26"/>
        </w:rPr>
        <w:t>TO UNDERTAKE A SIX-COUNTRY STUDY ON FINANCIAL SERVICES AND</w:t>
      </w:r>
      <w:r w:rsidRPr="00C3218E">
        <w:rPr>
          <w:rFonts w:ascii="Calibri Light" w:hAnsi="Calibri Light" w:cs="Calibri Light"/>
          <w:b/>
          <w:sz w:val="26"/>
        </w:rPr>
        <w:br/>
        <w:t xml:space="preserve">INCOME-ENHANCING OPPORTUNITIES FOR </w:t>
      </w:r>
      <w:r w:rsidR="0005733C" w:rsidRPr="00C3218E">
        <w:rPr>
          <w:rFonts w:ascii="Calibri Light" w:hAnsi="Calibri Light" w:cs="Calibri Light"/>
          <w:b/>
          <w:sz w:val="26"/>
        </w:rPr>
        <w:t xml:space="preserve">AFRICAN </w:t>
      </w:r>
      <w:r w:rsidRPr="00C3218E">
        <w:rPr>
          <w:rFonts w:ascii="Calibri Light" w:hAnsi="Calibri Light" w:cs="Calibri Light"/>
          <w:b/>
          <w:sz w:val="26"/>
        </w:rPr>
        <w:t>AGROECOLOGICAL ENTERPRISES</w:t>
      </w:r>
      <w:r w:rsidR="0005733C" w:rsidRPr="00C3218E">
        <w:rPr>
          <w:rFonts w:ascii="Calibri Light" w:hAnsi="Calibri Light" w:cs="Calibri Light"/>
          <w:b/>
          <w:sz w:val="26"/>
        </w:rPr>
        <w:t xml:space="preserve"> (AAEs)</w:t>
      </w:r>
    </w:p>
    <w:p w14:paraId="795971E2" w14:textId="77777777" w:rsidR="00F17EEF" w:rsidRDefault="00000000">
      <w:pPr>
        <w:spacing w:after="240"/>
        <w:jc w:val="center"/>
      </w:pPr>
      <w:r>
        <w:rPr>
          <w:b/>
          <w:color w:val="666666"/>
        </w:rPr>
        <w:t>Uganda | Tanzania | Zimbabwe | Zambia | Senegal | Togo</w:t>
      </w:r>
    </w:p>
    <w:p w14:paraId="7772E947" w14:textId="77777777" w:rsidR="00F17EEF" w:rsidRDefault="00F17EEF">
      <w:pPr>
        <w:pStyle w:val="Heading2"/>
      </w:pPr>
    </w:p>
    <w:p w14:paraId="0E6C4481"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The Alliance for Food Sovereignty in Africa (AFSA) intends to commission a consultancy to map financial services and income-enhancing opportunities available to African Agroecological Enterprises (AAEs) in Uganda, Tanzania, Zimbabwe, Zambia, Senegal and Togo. The study will identify and profile relevant providers, assess how accessible and suitable their services are for AAEs, and recommend practical service designs, partnerships and referral ways that respond to enterprise realities.</w:t>
      </w:r>
    </w:p>
    <w:p w14:paraId="6A8CB824" w14:textId="77777777" w:rsidR="00F17EEF" w:rsidRPr="00C3218E" w:rsidRDefault="00000000">
      <w:pPr>
        <w:keepLines/>
        <w:rPr>
          <w:rFonts w:ascii="Calibri Light" w:hAnsi="Calibri Light" w:cs="Calibri Light"/>
          <w:sz w:val="22"/>
        </w:rPr>
      </w:pPr>
      <w:r w:rsidRPr="00C3218E">
        <w:rPr>
          <w:rFonts w:ascii="Calibri Light" w:hAnsi="Calibri Light" w:cs="Calibri Light"/>
          <w:sz w:val="22"/>
        </w:rPr>
        <w:t>AFSA invites eligible individual consultants or consulting firms to submit technical and financial proposals for this assignment. The application should include:</w:t>
      </w:r>
    </w:p>
    <w:p w14:paraId="33812E85" w14:textId="77777777" w:rsidR="00F17EEF" w:rsidRPr="00C3218E" w:rsidRDefault="00000000">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A signed letter of bid.</w:t>
      </w:r>
    </w:p>
    <w:p w14:paraId="7DE27E4D" w14:textId="77777777" w:rsidR="00F17EEF" w:rsidRPr="00C3218E" w:rsidRDefault="00000000">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A technical proposal of not more than six pages, excluding annexes, showing the applicant’s understanding of the assignment, proposed methodology, sampling approach, work plan, team organization and quality-assurance arrangements.</w:t>
      </w:r>
    </w:p>
    <w:p w14:paraId="751455F1" w14:textId="77777777" w:rsidR="00F17EEF" w:rsidRPr="00C3218E" w:rsidRDefault="00000000">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A profile of the consultant or firm and evidence of relevant experience in inclusive finance, agricultural or enterprise finance, agroecology, food systems and multi-country research.</w:t>
      </w:r>
    </w:p>
    <w:p w14:paraId="2831F610" w14:textId="77777777" w:rsidR="00F17EEF" w:rsidRPr="00C3218E" w:rsidRDefault="00000000">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At least two samples of comparable assignments, which AFSA will treat confidentially.</w:t>
      </w:r>
    </w:p>
    <w:p w14:paraId="1FB992DD" w14:textId="77777777" w:rsidR="00F17EEF" w:rsidRPr="00C3218E" w:rsidRDefault="00000000">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Curricula vitae of the proposed team members, clearly indicating their roles and relevant experience.</w:t>
      </w:r>
    </w:p>
    <w:p w14:paraId="2D43F3F7" w14:textId="77777777" w:rsidR="00F17EEF" w:rsidRPr="00C3218E" w:rsidRDefault="00000000" w:rsidP="0005733C">
      <w:pPr>
        <w:pStyle w:val="ListBullet"/>
        <w:keepLines/>
        <w:spacing w:after="60" w:line="252" w:lineRule="auto"/>
        <w:rPr>
          <w:rFonts w:ascii="Calibri Light" w:hAnsi="Calibri Light" w:cs="Calibri Light"/>
          <w:sz w:val="22"/>
        </w:rPr>
      </w:pPr>
      <w:r w:rsidRPr="00C3218E">
        <w:rPr>
          <w:rFonts w:ascii="Calibri Light" w:hAnsi="Calibri Light" w:cs="Calibri Light"/>
          <w:sz w:val="22"/>
        </w:rPr>
        <w:t>A financial proposal in United States dollars, showing professional fees, country-level costs, travel, translation, validation, taxes and any reimbursable expenses.</w:t>
      </w:r>
    </w:p>
    <w:p w14:paraId="22F30FBE" w14:textId="005C30EB"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 xml:space="preserve">Technical and financial proposals should be submitted by email to </w:t>
      </w:r>
      <w:hyperlink r:id="rId9" w:history="1">
        <w:r w:rsidR="00C3218E" w:rsidRPr="003B2625">
          <w:rPr>
            <w:rStyle w:val="Hyperlink"/>
            <w:rFonts w:ascii="Calibri Light" w:hAnsi="Calibri Light" w:cs="Calibri Light"/>
            <w:sz w:val="22"/>
          </w:rPr>
          <w:t>afsa@afsafrica.org</w:t>
        </w:r>
      </w:hyperlink>
      <w:r w:rsidR="00C3218E">
        <w:rPr>
          <w:rFonts w:ascii="Calibri Light" w:hAnsi="Calibri Light" w:cs="Calibri Light"/>
          <w:sz w:val="22"/>
        </w:rPr>
        <w:t xml:space="preserve"> </w:t>
      </w:r>
      <w:r w:rsidRPr="00C3218E">
        <w:rPr>
          <w:rFonts w:ascii="Calibri Light" w:hAnsi="Calibri Light" w:cs="Calibri Light"/>
          <w:sz w:val="22"/>
        </w:rPr>
        <w:t>. The email subject should read</w:t>
      </w:r>
      <w:r w:rsidRPr="00C3218E">
        <w:rPr>
          <w:rFonts w:ascii="Calibri Light" w:hAnsi="Calibri Light" w:cs="Calibri Light"/>
          <w:b/>
          <w:bCs/>
          <w:i/>
          <w:iCs/>
          <w:sz w:val="22"/>
        </w:rPr>
        <w:t>: ‘AFSA – Financial Services and Income-Enhancing Opportunities Study’. The submission deadline is 28 August 2026 at 5:00pm East African Time</w:t>
      </w:r>
      <w:r w:rsidRPr="00C3218E">
        <w:rPr>
          <w:rFonts w:ascii="Calibri Light" w:hAnsi="Calibri Light" w:cs="Calibri Light"/>
          <w:sz w:val="22"/>
        </w:rPr>
        <w:t>. Only shortlisted applicants will be contacted.</w:t>
      </w:r>
    </w:p>
    <w:p w14:paraId="61AFAAA9" w14:textId="77777777" w:rsidR="00F17EEF" w:rsidRPr="00C3218E" w:rsidRDefault="00000000">
      <w:pPr>
        <w:keepLines/>
        <w:spacing w:after="200"/>
        <w:rPr>
          <w:rFonts w:ascii="Calibri Light" w:hAnsi="Calibri Light" w:cs="Calibri Light"/>
          <w:sz w:val="22"/>
        </w:rPr>
      </w:pPr>
      <w:r w:rsidRPr="00C3218E">
        <w:rPr>
          <w:rFonts w:ascii="Calibri Light" w:hAnsi="Calibri Light" w:cs="Calibri Light"/>
          <w:i/>
          <w:sz w:val="22"/>
        </w:rPr>
        <w:t>The detailed Terms of Reference are provided below.</w:t>
      </w:r>
    </w:p>
    <w:p w14:paraId="2B330FE7" w14:textId="77777777" w:rsidR="00F17EEF" w:rsidRPr="00C3218E" w:rsidRDefault="00000000">
      <w:pPr>
        <w:rPr>
          <w:rFonts w:ascii="Calibri Light" w:hAnsi="Calibri Light" w:cs="Calibri Light"/>
          <w:sz w:val="22"/>
        </w:rPr>
      </w:pPr>
      <w:r w:rsidRPr="00C3218E">
        <w:rPr>
          <w:rFonts w:ascii="Calibri Light" w:hAnsi="Calibri Light" w:cs="Calibri Light"/>
          <w:sz w:val="22"/>
        </w:rPr>
        <w:br w:type="page"/>
      </w:r>
    </w:p>
    <w:p w14:paraId="60F5EA15" w14:textId="77777777" w:rsidR="00F17EEF" w:rsidRPr="0005733C" w:rsidRDefault="00000000" w:rsidP="0005733C">
      <w:pPr>
        <w:spacing w:before="160" w:after="120"/>
        <w:jc w:val="center"/>
        <w:rPr>
          <w:b/>
          <w:color w:val="981C4F"/>
          <w:sz w:val="32"/>
        </w:rPr>
      </w:pPr>
      <w:r w:rsidRPr="0005733C">
        <w:rPr>
          <w:b/>
          <w:color w:val="981C4F"/>
          <w:sz w:val="32"/>
        </w:rPr>
        <w:lastRenderedPageBreak/>
        <w:t>TERMS OF REFERENCE (ToRs)</w:t>
      </w:r>
    </w:p>
    <w:p w14:paraId="55220750" w14:textId="77777777" w:rsidR="00F17EEF" w:rsidRPr="0005733C" w:rsidRDefault="00000000">
      <w:pPr>
        <w:spacing w:after="280"/>
        <w:jc w:val="center"/>
        <w:rPr>
          <w:rFonts w:ascii="Calibri Light" w:hAnsi="Calibri Light" w:cs="Calibri Light"/>
          <w:sz w:val="22"/>
        </w:rPr>
      </w:pPr>
      <w:r w:rsidRPr="0005733C">
        <w:rPr>
          <w:rFonts w:ascii="Calibri Light" w:hAnsi="Calibri Light" w:cs="Calibri Light"/>
          <w:b/>
          <w:sz w:val="22"/>
        </w:rPr>
        <w:t>MAPPING FINANCIAL SERVICES AND INCOME-ENHANCING OPPORTUNITIES</w:t>
      </w:r>
      <w:r w:rsidRPr="0005733C">
        <w:rPr>
          <w:rFonts w:ascii="Calibri Light" w:hAnsi="Calibri Light" w:cs="Calibri Light"/>
          <w:b/>
          <w:sz w:val="22"/>
        </w:rPr>
        <w:br/>
        <w:t>FOR AGROECOLOGICAL ENTERPRISES</w:t>
      </w:r>
    </w:p>
    <w:p w14:paraId="157F602E" w14:textId="77777777" w:rsidR="00EB503F" w:rsidRPr="00136241" w:rsidRDefault="00EB503F" w:rsidP="00EB503F">
      <w:pPr>
        <w:pStyle w:val="Heading1"/>
        <w:rPr>
          <w:rFonts w:ascii="Calibri Light" w:hAnsi="Calibri Light" w:cs="Calibri Light"/>
          <w:sz w:val="22"/>
        </w:rPr>
      </w:pPr>
      <w:r>
        <w:t>1. Working Definitions</w:t>
      </w:r>
    </w:p>
    <w:tbl>
      <w:tblPr>
        <w:tblW w:w="9576" w:type="dxa"/>
        <w:jc w:val="center"/>
        <w:shd w:val="clear" w:color="auto" w:fill="981C4F"/>
        <w:tblLayout w:type="fixed"/>
        <w:tblLook w:val="04A0" w:firstRow="1" w:lastRow="0" w:firstColumn="1" w:lastColumn="0" w:noHBand="0" w:noVBand="1"/>
      </w:tblPr>
      <w:tblGrid>
        <w:gridCol w:w="9576"/>
      </w:tblGrid>
      <w:tr w:rsidR="00EB503F" w:rsidRPr="00136241" w14:paraId="7FB06872" w14:textId="77777777" w:rsidTr="00EB503F">
        <w:trPr>
          <w:cantSplit/>
          <w:jc w:val="center"/>
        </w:trPr>
        <w:tc>
          <w:tcPr>
            <w:tcW w:w="9576" w:type="dxa"/>
            <w:shd w:val="clear" w:color="auto" w:fill="981C4F"/>
            <w:tcMar>
              <w:top w:w="130" w:type="dxa"/>
              <w:left w:w="160" w:type="dxa"/>
              <w:bottom w:w="130" w:type="dxa"/>
              <w:right w:w="160" w:type="dxa"/>
            </w:tcMar>
          </w:tcPr>
          <w:p w14:paraId="52998F90" w14:textId="77777777" w:rsidR="00EB503F" w:rsidRPr="00EB503F" w:rsidRDefault="00EB503F" w:rsidP="00E26747">
            <w:pPr>
              <w:spacing w:after="60"/>
              <w:rPr>
                <w:rFonts w:ascii="Calibri Light" w:hAnsi="Calibri Light" w:cs="Calibri Light"/>
                <w:color w:val="FFFFFF" w:themeColor="background1"/>
                <w:sz w:val="22"/>
              </w:rPr>
            </w:pPr>
            <w:r w:rsidRPr="00EB503F">
              <w:rPr>
                <w:rFonts w:ascii="Calibri Light" w:hAnsi="Calibri Light" w:cs="Calibri Light"/>
                <w:b/>
                <w:color w:val="FFFFFF" w:themeColor="background1"/>
                <w:sz w:val="22"/>
              </w:rPr>
              <w:t>Financial services</w:t>
            </w:r>
          </w:p>
          <w:p w14:paraId="682572C2" w14:textId="77777777" w:rsidR="00EB503F" w:rsidRPr="00136241" w:rsidRDefault="00EB503F" w:rsidP="00E26747">
            <w:pPr>
              <w:spacing w:after="0" w:line="264" w:lineRule="auto"/>
              <w:jc w:val="both"/>
              <w:rPr>
                <w:rFonts w:ascii="Calibri Light" w:hAnsi="Calibri Light" w:cs="Calibri Light"/>
                <w:sz w:val="22"/>
              </w:rPr>
            </w:pPr>
            <w:r w:rsidRPr="00EB503F">
              <w:rPr>
                <w:rFonts w:ascii="Calibri Light" w:hAnsi="Calibri Light" w:cs="Calibri Light"/>
                <w:color w:val="FFFFFF" w:themeColor="background1"/>
                <w:sz w:val="22"/>
              </w:rPr>
              <w:t>For this study, financial services are not limited to capital. They include services and opportunities that help enterprises mobilize funds, manage risk and cash flow, reduce transaction costs, reach markets, improve productivity, and increase or stabilize income.</w:t>
            </w:r>
          </w:p>
        </w:tc>
      </w:tr>
    </w:tbl>
    <w:p w14:paraId="2DA3D3CD" w14:textId="77777777" w:rsidR="00EB503F" w:rsidRPr="00136241" w:rsidRDefault="00EB503F" w:rsidP="00EB503F">
      <w:pPr>
        <w:spacing w:after="0"/>
        <w:rPr>
          <w:rFonts w:ascii="Calibri Light" w:hAnsi="Calibri Light" w:cs="Calibri Light"/>
          <w:sz w:val="22"/>
        </w:rPr>
      </w:pPr>
    </w:p>
    <w:tbl>
      <w:tblPr>
        <w:tblW w:w="9576" w:type="dxa"/>
        <w:jc w:val="center"/>
        <w:shd w:val="clear" w:color="auto" w:fill="981C4F"/>
        <w:tblLayout w:type="fixed"/>
        <w:tblLook w:val="04A0" w:firstRow="1" w:lastRow="0" w:firstColumn="1" w:lastColumn="0" w:noHBand="0" w:noVBand="1"/>
      </w:tblPr>
      <w:tblGrid>
        <w:gridCol w:w="9576"/>
      </w:tblGrid>
      <w:tr w:rsidR="00EB503F" w:rsidRPr="00136241" w14:paraId="20B0F521" w14:textId="77777777" w:rsidTr="00EB503F">
        <w:trPr>
          <w:cantSplit/>
          <w:jc w:val="center"/>
        </w:trPr>
        <w:tc>
          <w:tcPr>
            <w:tcW w:w="9576" w:type="dxa"/>
            <w:shd w:val="clear" w:color="auto" w:fill="981C4F"/>
            <w:tcMar>
              <w:top w:w="130" w:type="dxa"/>
              <w:left w:w="160" w:type="dxa"/>
              <w:bottom w:w="130" w:type="dxa"/>
              <w:right w:w="160" w:type="dxa"/>
            </w:tcMar>
          </w:tcPr>
          <w:p w14:paraId="01013904" w14:textId="77777777" w:rsidR="00EB503F" w:rsidRPr="00EB503F" w:rsidRDefault="00EB503F" w:rsidP="00E26747">
            <w:pPr>
              <w:spacing w:after="60"/>
              <w:rPr>
                <w:rFonts w:ascii="Calibri Light" w:hAnsi="Calibri Light" w:cs="Calibri Light"/>
                <w:color w:val="FFFFFF" w:themeColor="background1"/>
                <w:sz w:val="22"/>
              </w:rPr>
            </w:pPr>
            <w:r w:rsidRPr="00EB503F">
              <w:rPr>
                <w:rFonts w:ascii="Calibri Light" w:hAnsi="Calibri Light" w:cs="Calibri Light"/>
                <w:b/>
                <w:color w:val="FFFFFF" w:themeColor="background1"/>
                <w:sz w:val="22"/>
              </w:rPr>
              <w:t>Agroecological Enterprise</w:t>
            </w:r>
          </w:p>
          <w:p w14:paraId="26F50441" w14:textId="77777777" w:rsidR="00EB503F" w:rsidRPr="00136241" w:rsidRDefault="00EB503F" w:rsidP="00E26747">
            <w:pPr>
              <w:spacing w:after="0" w:line="264" w:lineRule="auto"/>
              <w:jc w:val="both"/>
              <w:rPr>
                <w:rFonts w:ascii="Calibri Light" w:hAnsi="Calibri Light" w:cs="Calibri Light"/>
                <w:sz w:val="22"/>
              </w:rPr>
            </w:pPr>
            <w:r w:rsidRPr="00EB503F">
              <w:rPr>
                <w:rFonts w:ascii="Calibri Light" w:hAnsi="Calibri Light" w:cs="Calibri Light"/>
                <w:color w:val="FFFFFF" w:themeColor="background1"/>
                <w:sz w:val="22"/>
              </w:rPr>
              <w:t>An Agroecological Enterprise (AEE) is a commercially oriented business operating in one or more agrifood value chains whose business model, strategy, operations, and products or services align with the principles of agroecology. It contributes to food systems that regenerate ecosystems, support human and animal health and wellbeing, ensure fairness, inclusion and respect for community rights, and strengthen resilience and wealth creation in local economies.</w:t>
            </w:r>
          </w:p>
        </w:tc>
      </w:tr>
    </w:tbl>
    <w:p w14:paraId="3FB8A4DA" w14:textId="77777777" w:rsidR="00EB503F" w:rsidRPr="00C3218E" w:rsidRDefault="00EB503F" w:rsidP="0005733C">
      <w:pPr>
        <w:keepLines/>
        <w:jc w:val="both"/>
        <w:rPr>
          <w:rFonts w:ascii="Calibri Light" w:hAnsi="Calibri Light" w:cs="Calibri Light"/>
          <w:sz w:val="22"/>
        </w:rPr>
      </w:pPr>
    </w:p>
    <w:p w14:paraId="299927AF" w14:textId="77777777" w:rsidR="00323B58" w:rsidRPr="00C3218E" w:rsidRDefault="00323B58" w:rsidP="0005733C">
      <w:pPr>
        <w:pStyle w:val="Heading1"/>
        <w:jc w:val="both"/>
        <w:rPr>
          <w:rFonts w:ascii="Calibri Light" w:hAnsi="Calibri Light" w:cs="Calibri Light"/>
          <w:sz w:val="22"/>
          <w:szCs w:val="22"/>
        </w:rPr>
      </w:pPr>
      <w:r w:rsidRPr="00C3218E">
        <w:rPr>
          <w:rFonts w:ascii="Calibri Light" w:hAnsi="Calibri Light" w:cs="Calibri Light"/>
          <w:sz w:val="22"/>
          <w:szCs w:val="22"/>
        </w:rPr>
        <w:t>2. Background</w:t>
      </w:r>
    </w:p>
    <w:p w14:paraId="739436B1"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The Alliance for Food Sovereignty in Africa (AFSA), established in 2011, is a broad alliance of civil society actors advancing food sovereignty and agroecology across Africa. Its membership includes food producer networks, civil society networks, indigenous peoples’ organisations, faith-based groups, women and youth organisations, consumer movements and international organisations that support AFSA’s mandate.</w:t>
      </w:r>
    </w:p>
    <w:p w14:paraId="18032781"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AFSA has been strengthening the African Agroecological Entrepreneurship and Territorial Markets movement by profiling enterprises and markets, supporting national platforms, building enterprise capacity and facilitating connections with buyers, investors, financial institutions and policymakers. This consultancy will generate practical evidence to improve those connections and guide services that better respond to AAE needs.</w:t>
      </w:r>
    </w:p>
    <w:p w14:paraId="4C0F3570"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Agroecological enterprises convert ecological production, local knowledge and community-based food systems into viable products and services. They include producers, processors, aggregators, input and service providers, distributors, retailers and other actors operating through territorial markets. Their growth can strengthen local economies, create decent livelihoods, widen access to healthy food and improve the resilience of food systems.</w:t>
      </w:r>
    </w:p>
    <w:p w14:paraId="7E81DEA7"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Many AAEs, however, operate at small or early-growth stages and face seasonal or uneven cash flows. Mainstream financial products may be difficult to identify or may require collateral, records, formal registration, credit history, scale and repayment schedules that do not fit these enterprises. Useful support may also sit outside conventional loans, including savings, insurance, guarantees, leasing, invoice or purchase-order finance, digital payments, buyer finance, matching grants, business-development support and market opportunities that increase or stabilise income.</w:t>
      </w:r>
    </w:p>
    <w:p w14:paraId="5747AC1F"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AFSA’s enterprise-readiness, capacity-building and matchmaking work has demonstrated that better organisation and purposeful engagement can unlock financing and market relationships. It has also highlighted the need for structured and comparable information on the financial-service landscape in each country. The proposed study will close this information gap, reveal practical access barriers, broaden the understanding of enterprise finance and help providers design more relevant services. It will serve both demand and supply: AAEs will gain clearer access ways, while providers will receive practical evidence on an underserved enterprise segment.</w:t>
      </w:r>
    </w:p>
    <w:p w14:paraId="73A2FA0D"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lastRenderedPageBreak/>
        <w:t>3. Justification and Relevance</w:t>
      </w:r>
    </w:p>
    <w:p w14:paraId="4E5FA7ED" w14:textId="77777777" w:rsidR="002E29D8" w:rsidRPr="00C3218E" w:rsidRDefault="00000000">
      <w:pPr>
        <w:rPr>
          <w:rFonts w:ascii="Calibri Light" w:hAnsi="Calibri Light" w:cs="Calibri Light"/>
          <w:sz w:val="22"/>
        </w:rPr>
      </w:pPr>
      <w:r w:rsidRPr="00C3218E">
        <w:rPr>
          <w:rFonts w:ascii="Calibri Light" w:hAnsi="Calibri Light" w:cs="Calibri Light"/>
          <w:sz w:val="22"/>
        </w:rPr>
        <w:t>AFSA’s investment-readiness, capacity-building and matchmaking work has improved the ability of AAEs to engage financial and market actors. However, referral and matchmaking are most effective when both sides understand the available options, access conditions and enterprise needs. A six-country mapping will provide this missing evidence and enable AFSA and national AAE platforms to move from broad resource mobilisation to targeted connections and dialogue with providers.</w:t>
      </w:r>
    </w:p>
    <w:p w14:paraId="46BA1BD2"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Close the information gap by providing a reliable, country-specific guide to providers, products, eligibility requirements, application channels, costs and contact points.</w:t>
      </w:r>
    </w:p>
    <w:p w14:paraId="6CCA1044"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Reveal practical access barriers related to collateral, registration, credit history, documentation, location, language, digital access, ticket size and repayment conditions.</w:t>
      </w:r>
    </w:p>
    <w:p w14:paraId="1EDEFDC3"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Broaden the understanding of enterprise finance beyond loans to include savings, risk protection, equipment access, reliable buyers, improved prices, reduced costs and other income-enhancing opportunities.</w:t>
      </w:r>
    </w:p>
    <w:p w14:paraId="6BB9DB75"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Improve the relevance of services by giving providers evidence on enterprise cycles, mixed business models and the needs of women-, youth- and community-led enterprises.</w:t>
      </w:r>
    </w:p>
    <w:p w14:paraId="54250B7E" w14:textId="77777777" w:rsidR="002E29D8" w:rsidRPr="00C3218E" w:rsidRDefault="00000000">
      <w:pPr>
        <w:pStyle w:val="ListBullet"/>
        <w:rPr>
          <w:rFonts w:ascii="Calibri Light" w:hAnsi="Calibri Light" w:cs="Calibri Light"/>
          <w:sz w:val="22"/>
        </w:rPr>
      </w:pPr>
      <w:proofErr w:type="gramStart"/>
      <w:r w:rsidRPr="00C3218E">
        <w:rPr>
          <w:rFonts w:ascii="Calibri Light" w:hAnsi="Calibri Light" w:cs="Calibri Light"/>
          <w:sz w:val="22"/>
        </w:rPr>
        <w:t>Strengthen</w:t>
      </w:r>
      <w:proofErr w:type="gramEnd"/>
      <w:r w:rsidRPr="00C3218E">
        <w:rPr>
          <w:rFonts w:ascii="Calibri Light" w:hAnsi="Calibri Light" w:cs="Calibri Light"/>
          <w:sz w:val="22"/>
        </w:rPr>
        <w:t xml:space="preserve"> AFSA’s enterprise support, </w:t>
      </w:r>
      <w:proofErr w:type="gramStart"/>
      <w:r w:rsidRPr="00C3218E">
        <w:rPr>
          <w:rFonts w:ascii="Calibri Light" w:hAnsi="Calibri Light" w:cs="Calibri Light"/>
          <w:sz w:val="22"/>
        </w:rPr>
        <w:t>financial-literacy</w:t>
      </w:r>
      <w:proofErr w:type="gramEnd"/>
      <w:r w:rsidRPr="00C3218E">
        <w:rPr>
          <w:rFonts w:ascii="Calibri Light" w:hAnsi="Calibri Light" w:cs="Calibri Light"/>
          <w:sz w:val="22"/>
        </w:rPr>
        <w:t>, investment-readiness, matchmaking, partnership and advocacy work.</w:t>
      </w:r>
    </w:p>
    <w:p w14:paraId="2C36C182" w14:textId="77777777" w:rsidR="002E29D8" w:rsidRPr="00C3218E" w:rsidRDefault="00000000">
      <w:pPr>
        <w:rPr>
          <w:rFonts w:ascii="Calibri Light" w:hAnsi="Calibri Light" w:cs="Calibri Light"/>
          <w:sz w:val="22"/>
        </w:rPr>
      </w:pPr>
      <w:r w:rsidRPr="00C3218E">
        <w:rPr>
          <w:rFonts w:ascii="Calibri Light" w:hAnsi="Calibri Light" w:cs="Calibri Light"/>
          <w:sz w:val="22"/>
        </w:rPr>
        <w:t>The study is therefore relevant to both demand and supply. AAEs will gain clearer pathways to suitable services, while providers will receive practical recommendations for reaching an underserved enterprise segment. AFSA and its partners will gain a basis for brokering relationships, piloting suitable solutions and tracking improvements in access.</w:t>
      </w:r>
    </w:p>
    <w:p w14:paraId="4BAA5ECF"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4. Purpose of the Study</w:t>
      </w:r>
    </w:p>
    <w:p w14:paraId="62040915"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To generate a practical evidence base on financial services and income-enhancing opportunities available to agroecological enterprises in Uganda, Tanzania, Zimbabwe, Zambia, Senegal and Togo, and to guide improved access and the design of services that better respond to AAE needs.</w:t>
      </w:r>
    </w:p>
    <w:p w14:paraId="4FDD5B52"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5. Specific Objectives</w:t>
      </w:r>
    </w:p>
    <w:p w14:paraId="7A0539D1" w14:textId="77777777" w:rsidR="00F17EEF" w:rsidRPr="00C3218E" w:rsidRDefault="00000000" w:rsidP="0005733C">
      <w:pPr>
        <w:pStyle w:val="ListNumber"/>
        <w:keepLines/>
        <w:spacing w:after="60" w:line="252" w:lineRule="auto"/>
        <w:jc w:val="both"/>
        <w:rPr>
          <w:rFonts w:ascii="Calibri Light" w:hAnsi="Calibri Light" w:cs="Calibri Light"/>
          <w:sz w:val="22"/>
        </w:rPr>
      </w:pPr>
      <w:r w:rsidRPr="00C3218E">
        <w:rPr>
          <w:rFonts w:ascii="Calibri Light" w:hAnsi="Calibri Light" w:cs="Calibri Light"/>
          <w:sz w:val="22"/>
        </w:rPr>
        <w:t>Map and profile relevant financial service providers and income-enhancing support actors in each study country, documenting the services and opportunities offered, delivery formats, target clients and geographic reach.</w:t>
      </w:r>
    </w:p>
    <w:p w14:paraId="35880FBF" w14:textId="77777777" w:rsidR="00F17EEF" w:rsidRPr="00C3218E" w:rsidRDefault="00000000" w:rsidP="0005733C">
      <w:pPr>
        <w:pStyle w:val="ListNumber"/>
        <w:keepLines/>
        <w:spacing w:after="60" w:line="252" w:lineRule="auto"/>
        <w:jc w:val="both"/>
        <w:rPr>
          <w:rFonts w:ascii="Calibri Light" w:hAnsi="Calibri Light" w:cs="Calibri Light"/>
          <w:sz w:val="22"/>
        </w:rPr>
      </w:pPr>
      <w:r w:rsidRPr="00C3218E">
        <w:rPr>
          <w:rFonts w:ascii="Calibri Light" w:hAnsi="Calibri Light" w:cs="Calibri Light"/>
          <w:sz w:val="22"/>
        </w:rPr>
        <w:t>Assess how AAEs can access and use the identified services, including eligibility, application processes, costs, documentation, collateral or guarantee requirements, delivery channels and barriers experienced by different types of AAEs.</w:t>
      </w:r>
    </w:p>
    <w:p w14:paraId="3FD0DFF0" w14:textId="77777777" w:rsidR="00F17EEF" w:rsidRPr="00C3218E" w:rsidRDefault="00000000" w:rsidP="0005733C">
      <w:pPr>
        <w:pStyle w:val="ListNumber"/>
        <w:keepLines/>
        <w:spacing w:after="60" w:line="252" w:lineRule="auto"/>
        <w:jc w:val="both"/>
        <w:rPr>
          <w:rFonts w:ascii="Calibri Light" w:hAnsi="Calibri Light" w:cs="Calibri Light"/>
          <w:sz w:val="22"/>
        </w:rPr>
      </w:pPr>
      <w:r w:rsidRPr="00C3218E">
        <w:rPr>
          <w:rFonts w:ascii="Calibri Light" w:hAnsi="Calibri Light" w:cs="Calibri Light"/>
          <w:sz w:val="22"/>
        </w:rPr>
        <w:t>Assess the relevance, affordability, flexibility, inclusiveness and potential income contribution of the services, including how accessibility varies by gender, age, enterprise size, location, value-chain role and formalisation status.</w:t>
      </w:r>
    </w:p>
    <w:p w14:paraId="4B2BD3F4" w14:textId="77777777" w:rsidR="00F17EEF" w:rsidRPr="00C3218E" w:rsidRDefault="00000000" w:rsidP="0005733C">
      <w:pPr>
        <w:pStyle w:val="ListNumber"/>
        <w:keepLines/>
        <w:spacing w:after="60" w:line="252" w:lineRule="auto"/>
        <w:jc w:val="both"/>
        <w:rPr>
          <w:rFonts w:ascii="Calibri Light" w:hAnsi="Calibri Light" w:cs="Calibri Light"/>
          <w:sz w:val="22"/>
        </w:rPr>
      </w:pPr>
      <w:r w:rsidRPr="00C3218E">
        <w:rPr>
          <w:rFonts w:ascii="Calibri Light" w:hAnsi="Calibri Light" w:cs="Calibri Light"/>
          <w:sz w:val="22"/>
        </w:rPr>
        <w:t>Identify provider constraints and the information, partnerships, risk-sharing arrangements or support mechanisms required to serve AAEs more effectively.</w:t>
      </w:r>
    </w:p>
    <w:p w14:paraId="6B6F0258" w14:textId="77777777" w:rsidR="00F17EEF" w:rsidRPr="00C3218E" w:rsidRDefault="00000000" w:rsidP="0005733C">
      <w:pPr>
        <w:pStyle w:val="ListNumber"/>
        <w:keepLines/>
        <w:spacing w:after="60" w:line="252" w:lineRule="auto"/>
        <w:jc w:val="both"/>
        <w:rPr>
          <w:rFonts w:ascii="Calibri Light" w:hAnsi="Calibri Light" w:cs="Calibri Light"/>
          <w:sz w:val="22"/>
        </w:rPr>
      </w:pPr>
      <w:r w:rsidRPr="00C3218E">
        <w:rPr>
          <w:rFonts w:ascii="Calibri Light" w:hAnsi="Calibri Light" w:cs="Calibri Light"/>
          <w:sz w:val="22"/>
        </w:rPr>
        <w:t>Develop country-specific and cross-country recommendations for financial services, partnerships and delivery models suited to AAE cash-flow patterns, growth stages and agroecological characteristics.</w:t>
      </w:r>
    </w:p>
    <w:p w14:paraId="1CB9C77B"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6. Scope of the Study</w:t>
      </w:r>
    </w:p>
    <w:p w14:paraId="1E268789" w14:textId="77777777" w:rsidR="002E29D8" w:rsidRPr="00C3218E" w:rsidRDefault="00000000">
      <w:pPr>
        <w:pStyle w:val="Heading2"/>
        <w:rPr>
          <w:rFonts w:ascii="Calibri Light" w:hAnsi="Calibri Light" w:cs="Calibri Light"/>
          <w:sz w:val="22"/>
          <w:szCs w:val="22"/>
        </w:rPr>
      </w:pPr>
      <w:r w:rsidRPr="00C3218E">
        <w:rPr>
          <w:rFonts w:ascii="Calibri Light" w:hAnsi="Calibri Light" w:cs="Calibri Light"/>
          <w:sz w:val="22"/>
          <w:szCs w:val="22"/>
        </w:rPr>
        <w:t>6.1 Geographic and Enterprise Scope</w:t>
      </w:r>
    </w:p>
    <w:p w14:paraId="472A620B"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The study will cover Uganda, Tanzania, Zimbabwe, Zambia, Senegal and Togo. It will include AAEs operating in production, processing, aggregation, distribution, retail, inputs, advisory services and other agrifood value-chain functions. Sampling must reflect differences in enterprise stage and size, commodity or service, rural or urban location, formalisation status and ownership, with deliberate inclusion of women- and youth-led enterprises.</w:t>
      </w:r>
    </w:p>
    <w:p w14:paraId="40002094" w14:textId="77777777" w:rsidR="002E29D8" w:rsidRPr="00C3218E" w:rsidRDefault="00000000">
      <w:pPr>
        <w:pStyle w:val="Heading2"/>
        <w:rPr>
          <w:rFonts w:ascii="Calibri Light" w:hAnsi="Calibri Light" w:cs="Calibri Light"/>
          <w:sz w:val="22"/>
          <w:szCs w:val="22"/>
        </w:rPr>
      </w:pPr>
      <w:r w:rsidRPr="00C3218E">
        <w:rPr>
          <w:rFonts w:ascii="Calibri Light" w:hAnsi="Calibri Light" w:cs="Calibri Light"/>
          <w:sz w:val="22"/>
          <w:szCs w:val="22"/>
        </w:rPr>
        <w:lastRenderedPageBreak/>
        <w:t>6.2 Provider Scope</w:t>
      </w:r>
    </w:p>
    <w:p w14:paraId="5FEEACC6" w14:textId="77777777" w:rsidR="00F17EEF" w:rsidRPr="00C3218E" w:rsidRDefault="00000000" w:rsidP="00323B58">
      <w:pPr>
        <w:keepLines/>
        <w:jc w:val="both"/>
        <w:rPr>
          <w:rFonts w:ascii="Calibri Light" w:hAnsi="Calibri Light" w:cs="Calibri Light"/>
          <w:sz w:val="22"/>
        </w:rPr>
      </w:pPr>
      <w:r w:rsidRPr="00C3218E">
        <w:rPr>
          <w:rFonts w:ascii="Calibri Light" w:hAnsi="Calibri Light" w:cs="Calibri Light"/>
          <w:sz w:val="22"/>
        </w:rPr>
        <w:t>The mapping should cover commercial and development banks; microfinance institutions; savings and credit cooperatives; insurers; fintech and mobile-money providers; leasing and asset-finance companies; impact investors and funds; guarantee facilities; government enterprise and agriculture programmes; foundations and grant makers; buyers, aggregators and off-takers; cooperatives; business-development service providers; and other actors whose services or opportunities affect enterprise income and financial resilience.</w:t>
      </w:r>
    </w:p>
    <w:p w14:paraId="62670E0E" w14:textId="77777777" w:rsidR="002E29D8" w:rsidRPr="00C3218E" w:rsidRDefault="00000000">
      <w:pPr>
        <w:pStyle w:val="Heading2"/>
        <w:rPr>
          <w:rFonts w:ascii="Calibri Light" w:hAnsi="Calibri Light" w:cs="Calibri Light"/>
          <w:sz w:val="22"/>
          <w:szCs w:val="22"/>
        </w:rPr>
      </w:pPr>
      <w:r w:rsidRPr="00C3218E">
        <w:rPr>
          <w:rFonts w:ascii="Calibri Light" w:hAnsi="Calibri Light" w:cs="Calibri Light"/>
          <w:sz w:val="22"/>
          <w:szCs w:val="22"/>
        </w:rPr>
        <w:t>6.3 Services and Opportunities to Be Examined</w:t>
      </w:r>
    </w:p>
    <w:tbl>
      <w:tblPr>
        <w:tblStyle w:val="TableGrid"/>
        <w:tblW w:w="0" w:type="auto"/>
        <w:jc w:val="center"/>
        <w:tblLayout w:type="fixed"/>
        <w:tblLook w:val="04A0" w:firstRow="1" w:lastRow="0" w:firstColumn="1" w:lastColumn="0" w:noHBand="0" w:noVBand="1"/>
      </w:tblPr>
      <w:tblGrid>
        <w:gridCol w:w="1800"/>
        <w:gridCol w:w="3528"/>
        <w:gridCol w:w="4032"/>
      </w:tblGrid>
      <w:tr w:rsidR="00F17EEF" w:rsidRPr="00C3218E" w14:paraId="3A4CFC0C" w14:textId="77777777" w:rsidTr="00EB503F">
        <w:trPr>
          <w:cantSplit/>
          <w:tblHeader/>
          <w:jc w:val="center"/>
        </w:trPr>
        <w:tc>
          <w:tcPr>
            <w:tcW w:w="1800" w:type="dxa"/>
            <w:shd w:val="clear" w:color="auto" w:fill="981C4F"/>
            <w:tcMar>
              <w:top w:w="90" w:type="dxa"/>
              <w:left w:w="120" w:type="dxa"/>
              <w:bottom w:w="90" w:type="dxa"/>
              <w:right w:w="120" w:type="dxa"/>
            </w:tcMar>
            <w:vAlign w:val="center"/>
          </w:tcPr>
          <w:p w14:paraId="26931F08" w14:textId="77777777" w:rsidR="00F17EEF" w:rsidRPr="00C3218E" w:rsidRDefault="00000000" w:rsidP="0005733C">
            <w:pPr>
              <w:jc w:val="both"/>
              <w:rPr>
                <w:rFonts w:ascii="Calibri Light" w:hAnsi="Calibri Light" w:cs="Calibri Light"/>
                <w:sz w:val="22"/>
              </w:rPr>
            </w:pPr>
            <w:r w:rsidRPr="00C3218E">
              <w:rPr>
                <w:rFonts w:ascii="Calibri Light" w:hAnsi="Calibri Light" w:cs="Calibri Light"/>
                <w:b/>
                <w:color w:val="FFFFFF"/>
                <w:sz w:val="22"/>
              </w:rPr>
              <w:t>Service area</w:t>
            </w:r>
          </w:p>
        </w:tc>
        <w:tc>
          <w:tcPr>
            <w:tcW w:w="3528" w:type="dxa"/>
            <w:shd w:val="clear" w:color="auto" w:fill="981C4F"/>
            <w:tcMar>
              <w:top w:w="90" w:type="dxa"/>
              <w:left w:w="120" w:type="dxa"/>
              <w:bottom w:w="90" w:type="dxa"/>
              <w:right w:w="120" w:type="dxa"/>
            </w:tcMar>
            <w:vAlign w:val="center"/>
          </w:tcPr>
          <w:p w14:paraId="751A379E" w14:textId="77777777" w:rsidR="00F17EEF" w:rsidRPr="00C3218E" w:rsidRDefault="00000000" w:rsidP="0005733C">
            <w:pPr>
              <w:jc w:val="both"/>
              <w:rPr>
                <w:rFonts w:ascii="Calibri Light" w:hAnsi="Calibri Light" w:cs="Calibri Light"/>
                <w:sz w:val="22"/>
              </w:rPr>
            </w:pPr>
            <w:r w:rsidRPr="00C3218E">
              <w:rPr>
                <w:rFonts w:ascii="Calibri Light" w:hAnsi="Calibri Light" w:cs="Calibri Light"/>
                <w:b/>
                <w:color w:val="FFFFFF"/>
                <w:sz w:val="22"/>
              </w:rPr>
              <w:t>Illustrative services</w:t>
            </w:r>
          </w:p>
        </w:tc>
        <w:tc>
          <w:tcPr>
            <w:tcW w:w="4032" w:type="dxa"/>
            <w:shd w:val="clear" w:color="auto" w:fill="981C4F"/>
            <w:tcMar>
              <w:top w:w="90" w:type="dxa"/>
              <w:left w:w="120" w:type="dxa"/>
              <w:bottom w:w="90" w:type="dxa"/>
              <w:right w:w="120" w:type="dxa"/>
            </w:tcMar>
            <w:vAlign w:val="center"/>
          </w:tcPr>
          <w:p w14:paraId="09D48DB5" w14:textId="77777777" w:rsidR="00F17EEF" w:rsidRPr="00C3218E" w:rsidRDefault="00000000" w:rsidP="0005733C">
            <w:pPr>
              <w:jc w:val="both"/>
              <w:rPr>
                <w:rFonts w:ascii="Calibri Light" w:hAnsi="Calibri Light" w:cs="Calibri Light"/>
                <w:sz w:val="22"/>
              </w:rPr>
            </w:pPr>
            <w:r w:rsidRPr="00C3218E">
              <w:rPr>
                <w:rFonts w:ascii="Calibri Light" w:hAnsi="Calibri Light" w:cs="Calibri Light"/>
                <w:b/>
                <w:color w:val="FFFFFF"/>
                <w:sz w:val="22"/>
              </w:rPr>
              <w:t>Information to document</w:t>
            </w:r>
          </w:p>
        </w:tc>
      </w:tr>
      <w:tr w:rsidR="00F17EEF" w:rsidRPr="00C3218E" w14:paraId="4E51502A" w14:textId="77777777">
        <w:trPr>
          <w:cantSplit/>
          <w:jc w:val="center"/>
        </w:trPr>
        <w:tc>
          <w:tcPr>
            <w:tcW w:w="1800" w:type="dxa"/>
            <w:tcMar>
              <w:top w:w="90" w:type="dxa"/>
              <w:left w:w="120" w:type="dxa"/>
              <w:bottom w:w="90" w:type="dxa"/>
              <w:right w:w="120" w:type="dxa"/>
            </w:tcMar>
            <w:vAlign w:val="center"/>
          </w:tcPr>
          <w:p w14:paraId="366E210A"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Capital and liquidity</w:t>
            </w:r>
          </w:p>
        </w:tc>
        <w:tc>
          <w:tcPr>
            <w:tcW w:w="3528" w:type="dxa"/>
            <w:tcMar>
              <w:top w:w="90" w:type="dxa"/>
              <w:left w:w="120" w:type="dxa"/>
              <w:bottom w:w="90" w:type="dxa"/>
              <w:right w:w="120" w:type="dxa"/>
            </w:tcMar>
            <w:vAlign w:val="center"/>
          </w:tcPr>
          <w:p w14:paraId="39F65DD1"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Working capital, term loans, overdrafts, equity, grants and blended finance</w:t>
            </w:r>
          </w:p>
        </w:tc>
        <w:tc>
          <w:tcPr>
            <w:tcW w:w="4032" w:type="dxa"/>
            <w:tcMar>
              <w:top w:w="90" w:type="dxa"/>
              <w:left w:w="120" w:type="dxa"/>
              <w:bottom w:w="90" w:type="dxa"/>
              <w:right w:w="120" w:type="dxa"/>
            </w:tcMar>
            <w:vAlign w:val="center"/>
          </w:tcPr>
          <w:p w14:paraId="3B79E4F5"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Ticket size, tenor, interest or fees, currency, repayment, security and grace period</w:t>
            </w:r>
          </w:p>
        </w:tc>
      </w:tr>
      <w:tr w:rsidR="00F17EEF" w:rsidRPr="00C3218E" w14:paraId="71F25932" w14:textId="77777777">
        <w:trPr>
          <w:cantSplit/>
          <w:jc w:val="center"/>
        </w:trPr>
        <w:tc>
          <w:tcPr>
            <w:tcW w:w="1800" w:type="dxa"/>
            <w:tcMar>
              <w:top w:w="90" w:type="dxa"/>
              <w:left w:w="120" w:type="dxa"/>
              <w:bottom w:w="90" w:type="dxa"/>
              <w:right w:w="120" w:type="dxa"/>
            </w:tcMar>
            <w:vAlign w:val="center"/>
          </w:tcPr>
          <w:p w14:paraId="207D27D6"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Savings and transactions</w:t>
            </w:r>
          </w:p>
        </w:tc>
        <w:tc>
          <w:tcPr>
            <w:tcW w:w="3528" w:type="dxa"/>
            <w:tcMar>
              <w:top w:w="90" w:type="dxa"/>
              <w:left w:w="120" w:type="dxa"/>
              <w:bottom w:w="90" w:type="dxa"/>
              <w:right w:w="120" w:type="dxa"/>
            </w:tcMar>
            <w:vAlign w:val="center"/>
          </w:tcPr>
          <w:p w14:paraId="7C6E08A4"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Savings, current accounts, digital wallets, merchant payments and remittances</w:t>
            </w:r>
          </w:p>
        </w:tc>
        <w:tc>
          <w:tcPr>
            <w:tcW w:w="4032" w:type="dxa"/>
            <w:tcMar>
              <w:top w:w="90" w:type="dxa"/>
              <w:left w:w="120" w:type="dxa"/>
              <w:bottom w:w="90" w:type="dxa"/>
              <w:right w:w="120" w:type="dxa"/>
            </w:tcMar>
            <w:vAlign w:val="center"/>
          </w:tcPr>
          <w:p w14:paraId="244E7BDB"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Opening requirements, transaction costs, branch, agent or digital access, and records created</w:t>
            </w:r>
          </w:p>
        </w:tc>
      </w:tr>
      <w:tr w:rsidR="00F17EEF" w:rsidRPr="00C3218E" w14:paraId="2BD163B9" w14:textId="77777777">
        <w:trPr>
          <w:cantSplit/>
          <w:jc w:val="center"/>
        </w:trPr>
        <w:tc>
          <w:tcPr>
            <w:tcW w:w="1800" w:type="dxa"/>
            <w:tcMar>
              <w:top w:w="90" w:type="dxa"/>
              <w:left w:w="120" w:type="dxa"/>
              <w:bottom w:w="90" w:type="dxa"/>
              <w:right w:w="120" w:type="dxa"/>
            </w:tcMar>
            <w:vAlign w:val="center"/>
          </w:tcPr>
          <w:p w14:paraId="7954CECB"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Risk management</w:t>
            </w:r>
          </w:p>
        </w:tc>
        <w:tc>
          <w:tcPr>
            <w:tcW w:w="3528" w:type="dxa"/>
            <w:tcMar>
              <w:top w:w="90" w:type="dxa"/>
              <w:left w:w="120" w:type="dxa"/>
              <w:bottom w:w="90" w:type="dxa"/>
              <w:right w:w="120" w:type="dxa"/>
            </w:tcMar>
            <w:vAlign w:val="center"/>
          </w:tcPr>
          <w:p w14:paraId="458E36DC"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 xml:space="preserve">Crop, livestock, </w:t>
            </w:r>
            <w:proofErr w:type="gramStart"/>
            <w:r w:rsidRPr="00C3218E">
              <w:rPr>
                <w:rFonts w:ascii="Calibri Light" w:hAnsi="Calibri Light" w:cs="Calibri Light"/>
                <w:sz w:val="22"/>
              </w:rPr>
              <w:t>asset</w:t>
            </w:r>
            <w:proofErr w:type="gramEnd"/>
            <w:r w:rsidRPr="00C3218E">
              <w:rPr>
                <w:rFonts w:ascii="Calibri Light" w:hAnsi="Calibri Light" w:cs="Calibri Light"/>
                <w:sz w:val="22"/>
              </w:rPr>
              <w:t>, health or business insurance; guarantees; emergency facilities</w:t>
            </w:r>
          </w:p>
        </w:tc>
        <w:tc>
          <w:tcPr>
            <w:tcW w:w="4032" w:type="dxa"/>
            <w:tcMar>
              <w:top w:w="90" w:type="dxa"/>
              <w:left w:w="120" w:type="dxa"/>
              <w:bottom w:w="90" w:type="dxa"/>
              <w:right w:w="120" w:type="dxa"/>
            </w:tcMar>
            <w:vAlign w:val="center"/>
          </w:tcPr>
          <w:p w14:paraId="7BDB6C29"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Coverage, premium, exclusions, claims, bundling and risk-sharing arrangements</w:t>
            </w:r>
          </w:p>
        </w:tc>
      </w:tr>
      <w:tr w:rsidR="00F17EEF" w:rsidRPr="00C3218E" w14:paraId="1A8BB56E" w14:textId="77777777">
        <w:trPr>
          <w:cantSplit/>
          <w:jc w:val="center"/>
        </w:trPr>
        <w:tc>
          <w:tcPr>
            <w:tcW w:w="1800" w:type="dxa"/>
            <w:tcMar>
              <w:top w:w="90" w:type="dxa"/>
              <w:left w:w="120" w:type="dxa"/>
              <w:bottom w:w="90" w:type="dxa"/>
              <w:right w:w="120" w:type="dxa"/>
            </w:tcMar>
            <w:vAlign w:val="center"/>
          </w:tcPr>
          <w:p w14:paraId="1AEB6961"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Assets and technology</w:t>
            </w:r>
          </w:p>
        </w:tc>
        <w:tc>
          <w:tcPr>
            <w:tcW w:w="3528" w:type="dxa"/>
            <w:tcMar>
              <w:top w:w="90" w:type="dxa"/>
              <w:left w:w="120" w:type="dxa"/>
              <w:bottom w:w="90" w:type="dxa"/>
              <w:right w:w="120" w:type="dxa"/>
            </w:tcMar>
            <w:vAlign w:val="center"/>
          </w:tcPr>
          <w:p w14:paraId="5436786B"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Leasing, hire purchase, supplier credit, equipment and renewable-energy finance</w:t>
            </w:r>
          </w:p>
        </w:tc>
        <w:tc>
          <w:tcPr>
            <w:tcW w:w="4032" w:type="dxa"/>
            <w:tcMar>
              <w:top w:w="90" w:type="dxa"/>
              <w:left w:w="120" w:type="dxa"/>
              <w:bottom w:w="90" w:type="dxa"/>
              <w:right w:w="120" w:type="dxa"/>
            </w:tcMar>
            <w:vAlign w:val="center"/>
          </w:tcPr>
          <w:p w14:paraId="48B673F7"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Deposit, ownership, maintenance, pay-as-you-use options and productive-use potential</w:t>
            </w:r>
          </w:p>
        </w:tc>
      </w:tr>
      <w:tr w:rsidR="00F17EEF" w:rsidRPr="00C3218E" w14:paraId="5A2F71A8" w14:textId="77777777">
        <w:trPr>
          <w:cantSplit/>
          <w:jc w:val="center"/>
        </w:trPr>
        <w:tc>
          <w:tcPr>
            <w:tcW w:w="1800" w:type="dxa"/>
            <w:tcMar>
              <w:top w:w="90" w:type="dxa"/>
              <w:left w:w="120" w:type="dxa"/>
              <w:bottom w:w="90" w:type="dxa"/>
              <w:right w:w="120" w:type="dxa"/>
            </w:tcMar>
            <w:vAlign w:val="center"/>
          </w:tcPr>
          <w:p w14:paraId="7CBC099C"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Trade and market finance</w:t>
            </w:r>
          </w:p>
        </w:tc>
        <w:tc>
          <w:tcPr>
            <w:tcW w:w="3528" w:type="dxa"/>
            <w:tcMar>
              <w:top w:w="90" w:type="dxa"/>
              <w:left w:w="120" w:type="dxa"/>
              <w:bottom w:w="90" w:type="dxa"/>
              <w:right w:w="120" w:type="dxa"/>
            </w:tcMar>
            <w:vAlign w:val="center"/>
          </w:tcPr>
          <w:p w14:paraId="54C99EE8"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Invoice and purchase-order finance, warehouse receipts, buyer advances and export finance</w:t>
            </w:r>
          </w:p>
        </w:tc>
        <w:tc>
          <w:tcPr>
            <w:tcW w:w="4032" w:type="dxa"/>
            <w:tcMar>
              <w:top w:w="90" w:type="dxa"/>
              <w:left w:w="120" w:type="dxa"/>
              <w:bottom w:w="90" w:type="dxa"/>
              <w:right w:w="120" w:type="dxa"/>
            </w:tcMar>
            <w:vAlign w:val="center"/>
          </w:tcPr>
          <w:p w14:paraId="55E20039"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Contract requirements, eligible buyers, settlement, seasonality, risks and protections</w:t>
            </w:r>
          </w:p>
        </w:tc>
      </w:tr>
      <w:tr w:rsidR="00F17EEF" w:rsidRPr="00C3218E" w14:paraId="51ECF291" w14:textId="77777777">
        <w:trPr>
          <w:cantSplit/>
          <w:jc w:val="center"/>
        </w:trPr>
        <w:tc>
          <w:tcPr>
            <w:tcW w:w="1800" w:type="dxa"/>
            <w:tcMar>
              <w:top w:w="90" w:type="dxa"/>
              <w:left w:w="120" w:type="dxa"/>
              <w:bottom w:w="90" w:type="dxa"/>
              <w:right w:w="120" w:type="dxa"/>
            </w:tcMar>
            <w:vAlign w:val="center"/>
          </w:tcPr>
          <w:p w14:paraId="692829E6"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Income-enhancing support</w:t>
            </w:r>
          </w:p>
        </w:tc>
        <w:tc>
          <w:tcPr>
            <w:tcW w:w="3528" w:type="dxa"/>
            <w:tcMar>
              <w:top w:w="90" w:type="dxa"/>
              <w:left w:w="120" w:type="dxa"/>
              <w:bottom w:w="90" w:type="dxa"/>
              <w:right w:w="120" w:type="dxa"/>
            </w:tcMar>
            <w:vAlign w:val="center"/>
          </w:tcPr>
          <w:p w14:paraId="44DC3DA9"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Market linkages, procurement, value addition, certification, incubation and technical assistance</w:t>
            </w:r>
          </w:p>
        </w:tc>
        <w:tc>
          <w:tcPr>
            <w:tcW w:w="4032" w:type="dxa"/>
            <w:tcMar>
              <w:top w:w="90" w:type="dxa"/>
              <w:left w:w="120" w:type="dxa"/>
              <w:bottom w:w="90" w:type="dxa"/>
              <w:right w:w="120" w:type="dxa"/>
            </w:tcMar>
            <w:vAlign w:val="center"/>
          </w:tcPr>
          <w:p w14:paraId="503665D1"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How support may raise revenue, improve prices, reduce costs or stabilise income</w:t>
            </w:r>
          </w:p>
        </w:tc>
      </w:tr>
    </w:tbl>
    <w:p w14:paraId="0A22973F" w14:textId="77777777" w:rsidR="00F17EEF" w:rsidRPr="00C3218E" w:rsidRDefault="00F17EEF" w:rsidP="0005733C">
      <w:pPr>
        <w:spacing w:after="0"/>
        <w:jc w:val="both"/>
        <w:rPr>
          <w:rFonts w:ascii="Calibri Light" w:hAnsi="Calibri Light" w:cs="Calibri Light"/>
          <w:sz w:val="22"/>
        </w:rPr>
      </w:pPr>
    </w:p>
    <w:p w14:paraId="6C10F4F2"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b/>
          <w:sz w:val="22"/>
        </w:rPr>
        <w:t xml:space="preserve">Important: </w:t>
      </w:r>
      <w:r w:rsidRPr="00C3218E">
        <w:rPr>
          <w:rFonts w:ascii="Calibri Light" w:hAnsi="Calibri Light" w:cs="Calibri Light"/>
          <w:sz w:val="22"/>
        </w:rPr>
        <w:t>The study must not assume that debt is always the appropriate response. Enterprise needs should be matched with the most suitable option, which may include savings, insurance, equipment access, a buyer contract, a grant, business support, improved payments or another income-enhancing opportunity.</w:t>
      </w:r>
    </w:p>
    <w:p w14:paraId="6191D66E"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7. Core Study Questions</w:t>
      </w:r>
    </w:p>
    <w:p w14:paraId="32DC372B"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Which providers currently serve, or could realistically serve, AAEs in each country?</w:t>
      </w:r>
    </w:p>
    <w:p w14:paraId="453D341A"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What financial and income-enhancing services do they offer, and which enterprise needs are these services intended to address?</w:t>
      </w:r>
    </w:p>
    <w:p w14:paraId="5804AE39"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How are services delivered: individually or through groups, physically or digitally, as standalone or bundled support, in cash or in kind, and on repayable or non-repayable terms?</w:t>
      </w:r>
    </w:p>
    <w:p w14:paraId="469CA64F"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What are the product terms, eligibility rules, application steps, decision timelines and points of contact?</w:t>
      </w:r>
    </w:p>
    <w:p w14:paraId="02A50A3B"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What records, collateral, guarantees, equity contribution, registration, turnover, credit history, contracts or certifications are required?</w:t>
      </w:r>
    </w:p>
    <w:p w14:paraId="108631A2"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Which services are AAEs already using, for what purposes, and with what results or difficulties?</w:t>
      </w:r>
    </w:p>
    <w:p w14:paraId="072AD02D"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How do access and experience vary by gender, age, enterprise size, location, value-chain role and level of formalisation?</w:t>
      </w:r>
    </w:p>
    <w:p w14:paraId="1080FAEF"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Which services can support higher or more stable income through markets, productivity, value addition, lower loss or cost, better pricing or risk management?</w:t>
      </w:r>
    </w:p>
    <w:p w14:paraId="3F275939"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lastRenderedPageBreak/>
        <w:t>What prevents providers from serving AAEs, and what information, partnerships or risk-sharing mechanisms would make this segment more viable?</w:t>
      </w:r>
    </w:p>
    <w:p w14:paraId="6396B499"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How should products, delivery channels and support packages be adapted to AAE cash flows, growth stages and agroecological characteristics?</w:t>
      </w:r>
    </w:p>
    <w:p w14:paraId="279B4A12" w14:textId="77777777" w:rsidR="0005733C" w:rsidRPr="00C3218E" w:rsidRDefault="0005733C" w:rsidP="00167CD5">
      <w:pPr>
        <w:pStyle w:val="ListBullet"/>
        <w:keepLines/>
        <w:numPr>
          <w:ilvl w:val="0"/>
          <w:numId w:val="0"/>
        </w:numPr>
        <w:spacing w:after="60" w:line="252" w:lineRule="auto"/>
        <w:ind w:left="360"/>
        <w:jc w:val="both"/>
        <w:rPr>
          <w:rFonts w:ascii="Calibri Light" w:hAnsi="Calibri Light" w:cs="Calibri Light"/>
          <w:sz w:val="22"/>
        </w:rPr>
      </w:pPr>
    </w:p>
    <w:p w14:paraId="0B754B04"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8. Proposed Methodology</w:t>
      </w:r>
    </w:p>
    <w:p w14:paraId="2DCB8DF4"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The consultant will propose a rigorous mixed-method and participatory design that combines desk research, provider-level inquiry and direct evidence from AAEs. A common framework must support comparison across the six countries, while allowing country teams to adapt language, terminology and respondent lists to local conditions. At minimum, the methodology should include:</w:t>
      </w:r>
    </w:p>
    <w:p w14:paraId="751197A3"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Inception and framework development: review programme documents and country profiles; confirm definitions, sampling, service categories, indicators, tools, ethics and a common provider-database template.</w:t>
      </w:r>
    </w:p>
    <w:p w14:paraId="3EF34BCA"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Desk review and provider longlisting: examine regulator and association directories, government programmes, financial-sector reports, digital-finance platforms, funding facilities and relevant market actors.</w:t>
      </w:r>
    </w:p>
    <w:p w14:paraId="16AF5CBA"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AAE survey and consultations: survey a structured sample of profiled AAEs and conduct focus-group discussions on demand, use, barriers, seasonal cash flows, preferred formats and income-enhancing needs.</w:t>
      </w:r>
    </w:p>
    <w:p w14:paraId="608504F7"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Key-informant interviews: </w:t>
      </w:r>
      <w:proofErr w:type="gramStart"/>
      <w:r w:rsidRPr="00C3218E">
        <w:rPr>
          <w:rFonts w:ascii="Calibri Light" w:hAnsi="Calibri Light" w:cs="Calibri Light"/>
          <w:sz w:val="22"/>
        </w:rPr>
        <w:t>consult</w:t>
      </w:r>
      <w:proofErr w:type="gramEnd"/>
      <w:r w:rsidRPr="00C3218E">
        <w:rPr>
          <w:rFonts w:ascii="Calibri Light" w:hAnsi="Calibri Light" w:cs="Calibri Light"/>
          <w:sz w:val="22"/>
        </w:rPr>
        <w:t xml:space="preserve"> providers, regulators, public agencies, national AAE platform leaders, buyers, investors and enterprise-support actors.</w:t>
      </w:r>
    </w:p>
    <w:p w14:paraId="6A1C56D0"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Service assessment and validation: assess services against relevance, accessibility, affordability, flexibility, inclusion, reach and potential contribution to income, then validate preliminary findings with AAEs and providers.</w:t>
      </w:r>
    </w:p>
    <w:p w14:paraId="5C3B56A8"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Synthesis and recommendation design: prepare country profiles, comparative analysis and prioritised recommendations, separating immediate referral opportunities, partnership or pilot opportunities, and longer-term policy or product-design changes.</w:t>
      </w:r>
    </w:p>
    <w:p w14:paraId="6B7856DA"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9. Study Management and Coordination</w:t>
      </w:r>
    </w:p>
    <w:p w14:paraId="02A8D1A6"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The assignment may be undertaken by a qualified consulting firm or an independent consultant leading a multidisciplinary team.</w:t>
      </w:r>
    </w:p>
    <w:p w14:paraId="217F88E0"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The team leader will coordinate all country-level work, maintain methodological consistency, meet deadlines and take responsibility for the quality and finalisation of all deliverables.</w:t>
      </w:r>
    </w:p>
    <w:p w14:paraId="34B2BC5D"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AFSA will provide overall coordination and quality assurance through its AAE/TM programme and monitoring and learning support. National AAE platforms and country partners will support respondent identification, local-language engagement, validation and dissemination.</w:t>
      </w:r>
    </w:p>
    <w:p w14:paraId="47F11519"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The consultant will remain responsible for independent analysis, direct verification of provider information and protection of respondent data.</w:t>
      </w:r>
    </w:p>
    <w:p w14:paraId="06C34DB5"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French-language capacity is required for Senegal and Togo, and appropriate local-language support must be arranged in all countries.</w:t>
      </w:r>
    </w:p>
    <w:p w14:paraId="0D88C245"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10. Consultant Qualifications and Team Competencies</w:t>
      </w:r>
    </w:p>
    <w:p w14:paraId="5291764E" w14:textId="77777777" w:rsidR="002E29D8" w:rsidRPr="00C3218E" w:rsidRDefault="00000000">
      <w:pPr>
        <w:pStyle w:val="Heading2"/>
        <w:rPr>
          <w:rFonts w:ascii="Calibri Light" w:hAnsi="Calibri Light" w:cs="Calibri Light"/>
          <w:sz w:val="22"/>
          <w:szCs w:val="22"/>
        </w:rPr>
      </w:pPr>
      <w:r w:rsidRPr="00C3218E">
        <w:rPr>
          <w:rFonts w:ascii="Calibri Light" w:hAnsi="Calibri Light" w:cs="Calibri Light"/>
          <w:sz w:val="22"/>
          <w:szCs w:val="22"/>
        </w:rPr>
        <w:t>10.1 Team Leader / Lead Consultant</w:t>
      </w:r>
    </w:p>
    <w:p w14:paraId="317472BE"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An advanced degree in finance, economics, agricultural economics, development finance, business administration, development studies or a closely related field.</w:t>
      </w:r>
    </w:p>
    <w:p w14:paraId="5B62A5C8"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At least ten years of relevant professional experience, including leadership of complex research or advisory assignments in inclusive finance, agricultural or enterprise finance, market systems or financial-sector development.</w:t>
      </w:r>
    </w:p>
    <w:p w14:paraId="727EE3C9"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lastRenderedPageBreak/>
        <w:t>Demonstrated experience managing multi-country studies and mixed-method research, including sampling, surveys, interviews, focus groups and comparative analysis.</w:t>
      </w:r>
    </w:p>
    <w:p w14:paraId="08F59913"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Strong knowledge of African financial-service ecosystems and the financing constraints of micro, small and medium enterprises, particularly agriculture or food-system enterprises.</w:t>
      </w:r>
    </w:p>
    <w:p w14:paraId="50FE158A"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Evidence of translating research into practical products, provider partnerships, referral tools, product recommendations or policy and programme decisions.</w:t>
      </w:r>
    </w:p>
    <w:p w14:paraId="3E8D2C58"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Excellent report-writing, facilitation and presentation skills in English.</w:t>
      </w:r>
    </w:p>
    <w:p w14:paraId="48EB044F" w14:textId="77777777" w:rsidR="00F17EEF" w:rsidRPr="00C3218E" w:rsidRDefault="00F17EEF" w:rsidP="0005733C">
      <w:pPr>
        <w:pStyle w:val="Heading2"/>
        <w:jc w:val="both"/>
        <w:rPr>
          <w:rFonts w:ascii="Calibri Light" w:hAnsi="Calibri Light" w:cs="Calibri Light"/>
          <w:sz w:val="22"/>
          <w:szCs w:val="22"/>
        </w:rPr>
      </w:pPr>
    </w:p>
    <w:p w14:paraId="7B112A74" w14:textId="77777777" w:rsidR="002E29D8" w:rsidRPr="00C3218E" w:rsidRDefault="00000000">
      <w:pPr>
        <w:pStyle w:val="Heading2"/>
        <w:rPr>
          <w:rFonts w:ascii="Calibri Light" w:hAnsi="Calibri Light" w:cs="Calibri Light"/>
          <w:sz w:val="22"/>
          <w:szCs w:val="22"/>
        </w:rPr>
      </w:pPr>
      <w:r w:rsidRPr="00C3218E">
        <w:rPr>
          <w:rFonts w:ascii="Calibri Light" w:hAnsi="Calibri Light" w:cs="Calibri Light"/>
          <w:sz w:val="22"/>
          <w:szCs w:val="22"/>
        </w:rPr>
        <w:t>10.2 Collective Team Competencies</w:t>
      </w:r>
    </w:p>
    <w:p w14:paraId="5C96A996" w14:textId="77777777" w:rsidR="00F17EEF" w:rsidRPr="00C3218E" w:rsidRDefault="00000000" w:rsidP="0005733C">
      <w:pPr>
        <w:keepLines/>
        <w:jc w:val="both"/>
        <w:rPr>
          <w:rFonts w:ascii="Calibri Light" w:hAnsi="Calibri Light" w:cs="Calibri Light"/>
          <w:b/>
          <w:bCs/>
          <w:sz w:val="22"/>
        </w:rPr>
      </w:pPr>
      <w:r w:rsidRPr="00C3218E">
        <w:rPr>
          <w:rFonts w:ascii="Calibri Light" w:hAnsi="Calibri Light" w:cs="Calibri Light"/>
          <w:b/>
          <w:bCs/>
          <w:sz w:val="22"/>
        </w:rPr>
        <w:t>The proposed team should collectively demonstrate competence in:</w:t>
      </w:r>
    </w:p>
    <w:p w14:paraId="1AF4CCAA"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Inclusive finance, agricultural and enterprise finance, product design and risk-sharing mechanisms.</w:t>
      </w:r>
    </w:p>
    <w:p w14:paraId="3C5C622F"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Agroecology, food systems, territorial markets and enterprise development.</w:t>
      </w:r>
    </w:p>
    <w:p w14:paraId="3F2F8967"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Quantitative and qualitative research, database development and data visualisation.</w:t>
      </w:r>
    </w:p>
    <w:p w14:paraId="1DB71694"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Gender and youth inclusion and analysis of rural, informal and early-stage enterprises.</w:t>
      </w:r>
    </w:p>
    <w:p w14:paraId="13E9DD4C"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Country-level financial-sector knowledge and stakeholder networks in all six countries.</w:t>
      </w:r>
    </w:p>
    <w:p w14:paraId="0DDB6290"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English and French research and writing, plus local-language capacity where required.</w:t>
      </w:r>
    </w:p>
    <w:p w14:paraId="3460D966"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Data protection, ethical research and verification of provider and product information.</w:t>
      </w:r>
    </w:p>
    <w:p w14:paraId="0280E28B"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11. Key Tasks and Responsibilities</w:t>
      </w:r>
    </w:p>
    <w:p w14:paraId="257FA2B9"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Hold an inception meeting with AFSA and refine the study design, definitions, research matrix, sampling strategy, work plan and deliverable schedule.</w:t>
      </w:r>
    </w:p>
    <w:p w14:paraId="2C925DD7"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Review relevant AFSA programme documents, national financial-sector information, policy and regulatory material, provider directories and existing research.</w:t>
      </w:r>
    </w:p>
    <w:p w14:paraId="0626C84B"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Develop and pre-test common data-collection tools, consent procedures, service-assessment criteria and an updateable provider-database template.</w:t>
      </w:r>
    </w:p>
    <w:p w14:paraId="18DE87CA"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Recruit, orient and supervise country researchers and ensure consistent, gender- and youth-responsive data collection in all six countries.</w:t>
      </w:r>
    </w:p>
    <w:p w14:paraId="2C0C201C"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Map and shortlist providers and income-enhancing support actors, conduct interviews and verify product details directly with providers.</w:t>
      </w:r>
    </w:p>
    <w:p w14:paraId="68388FD6"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Survey and consult a diverse sample of AAEs, including women- and youth-led enterprises, and document their use, experience, barriers and unmet needs.</w:t>
      </w:r>
    </w:p>
    <w:p w14:paraId="5CF2F163"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Analyse service accessibility and relevance, distinguishing advertised product terms from actual AAE experience.</w:t>
      </w:r>
    </w:p>
    <w:p w14:paraId="6F234B56"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Prepare six country profiles, a cross-country synthesis, an AAE access guide and a provider-oriented service design and partnership brief.</w:t>
      </w:r>
    </w:p>
    <w:p w14:paraId="380E236B"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Facilitate six national validation sessions and one cross-country dissemination and learning session.</w:t>
      </w:r>
    </w:p>
    <w:p w14:paraId="11719F68"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Incorporate feedback, submit clean final products and hand over the complete database, research tools and </w:t>
      </w:r>
      <w:proofErr w:type="gramStart"/>
      <w:r w:rsidRPr="00C3218E">
        <w:rPr>
          <w:rFonts w:ascii="Calibri Light" w:hAnsi="Calibri Light" w:cs="Calibri Light"/>
          <w:sz w:val="22"/>
        </w:rPr>
        <w:t>supporting</w:t>
      </w:r>
      <w:proofErr w:type="gramEnd"/>
      <w:r w:rsidRPr="00C3218E">
        <w:rPr>
          <w:rFonts w:ascii="Calibri Light" w:hAnsi="Calibri Light" w:cs="Calibri Light"/>
          <w:sz w:val="22"/>
        </w:rPr>
        <w:t xml:space="preserve"> documentation to AFSA.</w:t>
      </w:r>
    </w:p>
    <w:p w14:paraId="4EFD22F6" w14:textId="77777777" w:rsidR="00F17EEF" w:rsidRPr="00C3218E" w:rsidRDefault="00F17EEF" w:rsidP="0005733C">
      <w:pPr>
        <w:pStyle w:val="Heading1"/>
        <w:jc w:val="both"/>
        <w:rPr>
          <w:rFonts w:ascii="Calibri Light" w:hAnsi="Calibri Light" w:cs="Calibri Light"/>
          <w:sz w:val="22"/>
          <w:szCs w:val="22"/>
        </w:rPr>
      </w:pPr>
      <w:r w:rsidRPr="00C3218E">
        <w:rPr>
          <w:rFonts w:ascii="Calibri Light" w:hAnsi="Calibri Light" w:cs="Calibri Light"/>
          <w:sz w:val="22"/>
          <w:szCs w:val="22"/>
        </w:rPr>
        <w:t>12. Expected Outputs and Deliverables</w:t>
      </w:r>
    </w:p>
    <w:tbl>
      <w:tblPr>
        <w:tblStyle w:val="TableGrid"/>
        <w:tblW w:w="0" w:type="auto"/>
        <w:jc w:val="center"/>
        <w:tblLayout w:type="fixed"/>
        <w:tblLook w:val="04A0" w:firstRow="1" w:lastRow="0" w:firstColumn="1" w:lastColumn="0" w:noHBand="0" w:noVBand="1"/>
      </w:tblPr>
      <w:tblGrid>
        <w:gridCol w:w="2232"/>
        <w:gridCol w:w="5976"/>
      </w:tblGrid>
      <w:tr w:rsidR="00167CD5" w:rsidRPr="00C3218E" w14:paraId="2C6AF654" w14:textId="77777777" w:rsidTr="00EB503F">
        <w:trPr>
          <w:cantSplit/>
          <w:tblHeader/>
          <w:jc w:val="center"/>
        </w:trPr>
        <w:tc>
          <w:tcPr>
            <w:tcW w:w="2232" w:type="dxa"/>
            <w:shd w:val="clear" w:color="auto" w:fill="981C4F"/>
            <w:tcMar>
              <w:top w:w="90" w:type="dxa"/>
              <w:left w:w="120" w:type="dxa"/>
              <w:bottom w:w="90" w:type="dxa"/>
              <w:right w:w="120" w:type="dxa"/>
            </w:tcMar>
            <w:vAlign w:val="center"/>
          </w:tcPr>
          <w:p w14:paraId="60330A76" w14:textId="77777777" w:rsidR="00167CD5" w:rsidRPr="00C3218E" w:rsidRDefault="00167CD5" w:rsidP="0005733C">
            <w:pPr>
              <w:jc w:val="both"/>
              <w:rPr>
                <w:rFonts w:ascii="Calibri Light" w:hAnsi="Calibri Light" w:cs="Calibri Light"/>
                <w:sz w:val="22"/>
              </w:rPr>
            </w:pPr>
            <w:r w:rsidRPr="00C3218E">
              <w:rPr>
                <w:rFonts w:ascii="Calibri Light" w:hAnsi="Calibri Light" w:cs="Calibri Light"/>
                <w:b/>
                <w:color w:val="FFFFFF"/>
                <w:sz w:val="22"/>
              </w:rPr>
              <w:t>Deliverable</w:t>
            </w:r>
          </w:p>
        </w:tc>
        <w:tc>
          <w:tcPr>
            <w:tcW w:w="5976" w:type="dxa"/>
            <w:shd w:val="clear" w:color="auto" w:fill="981C4F"/>
            <w:tcMar>
              <w:top w:w="90" w:type="dxa"/>
              <w:left w:w="120" w:type="dxa"/>
              <w:bottom w:w="90" w:type="dxa"/>
              <w:right w:w="120" w:type="dxa"/>
            </w:tcMar>
            <w:vAlign w:val="center"/>
          </w:tcPr>
          <w:p w14:paraId="21253B91" w14:textId="77777777" w:rsidR="00167CD5" w:rsidRPr="00C3218E" w:rsidRDefault="00167CD5" w:rsidP="0005733C">
            <w:pPr>
              <w:jc w:val="both"/>
              <w:rPr>
                <w:rFonts w:ascii="Calibri Light" w:hAnsi="Calibri Light" w:cs="Calibri Light"/>
                <w:sz w:val="22"/>
              </w:rPr>
            </w:pPr>
            <w:r w:rsidRPr="00C3218E">
              <w:rPr>
                <w:rFonts w:ascii="Calibri Light" w:hAnsi="Calibri Light" w:cs="Calibri Light"/>
                <w:b/>
                <w:color w:val="FFFFFF"/>
                <w:sz w:val="22"/>
              </w:rPr>
              <w:t>Minimum content</w:t>
            </w:r>
          </w:p>
        </w:tc>
      </w:tr>
      <w:tr w:rsidR="00167CD5" w:rsidRPr="00C3218E" w14:paraId="2058497E" w14:textId="77777777">
        <w:trPr>
          <w:cantSplit/>
          <w:jc w:val="center"/>
        </w:trPr>
        <w:tc>
          <w:tcPr>
            <w:tcW w:w="2232" w:type="dxa"/>
            <w:tcMar>
              <w:top w:w="90" w:type="dxa"/>
              <w:left w:w="120" w:type="dxa"/>
              <w:bottom w:w="90" w:type="dxa"/>
              <w:right w:w="120" w:type="dxa"/>
            </w:tcMar>
            <w:vAlign w:val="center"/>
          </w:tcPr>
          <w:p w14:paraId="1E78C764"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1. Inception report</w:t>
            </w:r>
          </w:p>
        </w:tc>
        <w:tc>
          <w:tcPr>
            <w:tcW w:w="5976" w:type="dxa"/>
            <w:tcMar>
              <w:top w:w="90" w:type="dxa"/>
              <w:left w:w="120" w:type="dxa"/>
              <w:bottom w:w="90" w:type="dxa"/>
              <w:right w:w="120" w:type="dxa"/>
            </w:tcMar>
            <w:vAlign w:val="center"/>
          </w:tcPr>
          <w:p w14:paraId="1A85F6C3"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Refined methodology, definitions, research matrix, sampling strategy, work plan, tools, ethics and data-management plan.</w:t>
            </w:r>
          </w:p>
        </w:tc>
      </w:tr>
      <w:tr w:rsidR="00167CD5" w:rsidRPr="00C3218E" w14:paraId="5A71851A" w14:textId="77777777">
        <w:trPr>
          <w:cantSplit/>
          <w:jc w:val="center"/>
        </w:trPr>
        <w:tc>
          <w:tcPr>
            <w:tcW w:w="2232" w:type="dxa"/>
            <w:tcMar>
              <w:top w:w="90" w:type="dxa"/>
              <w:left w:w="120" w:type="dxa"/>
              <w:bottom w:w="90" w:type="dxa"/>
              <w:right w:w="120" w:type="dxa"/>
            </w:tcMar>
            <w:vAlign w:val="center"/>
          </w:tcPr>
          <w:p w14:paraId="76083884"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2. Preliminary provider longlists and database</w:t>
            </w:r>
          </w:p>
        </w:tc>
        <w:tc>
          <w:tcPr>
            <w:tcW w:w="5976" w:type="dxa"/>
            <w:tcMar>
              <w:top w:w="90" w:type="dxa"/>
              <w:left w:w="120" w:type="dxa"/>
              <w:bottom w:w="90" w:type="dxa"/>
              <w:right w:w="120" w:type="dxa"/>
            </w:tcMar>
            <w:vAlign w:val="center"/>
          </w:tcPr>
          <w:p w14:paraId="346D26AD"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Country-level provider longlists and an operational shared database template populated with preliminary information.</w:t>
            </w:r>
          </w:p>
        </w:tc>
      </w:tr>
      <w:tr w:rsidR="00167CD5" w:rsidRPr="00C3218E" w14:paraId="759D78DC" w14:textId="77777777">
        <w:trPr>
          <w:cantSplit/>
          <w:jc w:val="center"/>
        </w:trPr>
        <w:tc>
          <w:tcPr>
            <w:tcW w:w="2232" w:type="dxa"/>
            <w:tcMar>
              <w:top w:w="90" w:type="dxa"/>
              <w:left w:w="120" w:type="dxa"/>
              <w:bottom w:w="90" w:type="dxa"/>
              <w:right w:w="120" w:type="dxa"/>
            </w:tcMar>
            <w:vAlign w:val="center"/>
          </w:tcPr>
          <w:p w14:paraId="500C1082"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lastRenderedPageBreak/>
              <w:t>3. Fieldwork completion package</w:t>
            </w:r>
          </w:p>
        </w:tc>
        <w:tc>
          <w:tcPr>
            <w:tcW w:w="5976" w:type="dxa"/>
            <w:tcMar>
              <w:top w:w="90" w:type="dxa"/>
              <w:left w:w="120" w:type="dxa"/>
              <w:bottom w:w="90" w:type="dxa"/>
              <w:right w:w="120" w:type="dxa"/>
            </w:tcMar>
            <w:vAlign w:val="center"/>
          </w:tcPr>
          <w:p w14:paraId="79E231CD"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Clean data, interview and focus-group summaries, respondent coverage report and updated verified service database.</w:t>
            </w:r>
          </w:p>
        </w:tc>
      </w:tr>
      <w:tr w:rsidR="00167CD5" w:rsidRPr="00C3218E" w14:paraId="48504D2D" w14:textId="77777777">
        <w:trPr>
          <w:cantSplit/>
          <w:jc w:val="center"/>
        </w:trPr>
        <w:tc>
          <w:tcPr>
            <w:tcW w:w="2232" w:type="dxa"/>
            <w:tcMar>
              <w:top w:w="90" w:type="dxa"/>
              <w:left w:w="120" w:type="dxa"/>
              <w:bottom w:w="90" w:type="dxa"/>
              <w:right w:w="120" w:type="dxa"/>
            </w:tcMar>
            <w:vAlign w:val="center"/>
          </w:tcPr>
          <w:p w14:paraId="353285A3"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4. Draft country profiles and synthesis</w:t>
            </w:r>
          </w:p>
        </w:tc>
        <w:tc>
          <w:tcPr>
            <w:tcW w:w="5976" w:type="dxa"/>
            <w:tcMar>
              <w:top w:w="90" w:type="dxa"/>
              <w:left w:w="120" w:type="dxa"/>
              <w:bottom w:w="90" w:type="dxa"/>
              <w:right w:w="120" w:type="dxa"/>
            </w:tcMar>
            <w:vAlign w:val="center"/>
          </w:tcPr>
          <w:p w14:paraId="6E3D7F7A"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Six concise country financial-service landscape profiles and a comparative draft report showing common and country-specific findings.</w:t>
            </w:r>
          </w:p>
        </w:tc>
      </w:tr>
      <w:tr w:rsidR="00167CD5" w:rsidRPr="00C3218E" w14:paraId="2003F6E1" w14:textId="77777777">
        <w:trPr>
          <w:cantSplit/>
          <w:jc w:val="center"/>
        </w:trPr>
        <w:tc>
          <w:tcPr>
            <w:tcW w:w="2232" w:type="dxa"/>
            <w:tcMar>
              <w:top w:w="90" w:type="dxa"/>
              <w:left w:w="120" w:type="dxa"/>
              <w:bottom w:w="90" w:type="dxa"/>
              <w:right w:w="120" w:type="dxa"/>
            </w:tcMar>
            <w:vAlign w:val="center"/>
          </w:tcPr>
          <w:p w14:paraId="4BAD99E1"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5. Validation and presentation materials</w:t>
            </w:r>
          </w:p>
        </w:tc>
        <w:tc>
          <w:tcPr>
            <w:tcW w:w="5976" w:type="dxa"/>
            <w:tcMar>
              <w:top w:w="90" w:type="dxa"/>
              <w:left w:w="120" w:type="dxa"/>
              <w:bottom w:w="90" w:type="dxa"/>
              <w:right w:w="120" w:type="dxa"/>
            </w:tcMar>
            <w:vAlign w:val="center"/>
          </w:tcPr>
          <w:p w14:paraId="5DF5211B"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Materials and presentations for six national validation sessions and one cross-country learning session; consolidated feedback record.</w:t>
            </w:r>
          </w:p>
        </w:tc>
      </w:tr>
      <w:tr w:rsidR="00167CD5" w:rsidRPr="00C3218E" w14:paraId="10A0EF98" w14:textId="77777777">
        <w:trPr>
          <w:cantSplit/>
          <w:jc w:val="center"/>
        </w:trPr>
        <w:tc>
          <w:tcPr>
            <w:tcW w:w="2232" w:type="dxa"/>
            <w:tcMar>
              <w:top w:w="90" w:type="dxa"/>
              <w:left w:w="120" w:type="dxa"/>
              <w:bottom w:w="90" w:type="dxa"/>
              <w:right w:w="120" w:type="dxa"/>
            </w:tcMar>
            <w:vAlign w:val="center"/>
          </w:tcPr>
          <w:p w14:paraId="5322E90F"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6. Final reports and practical tools</w:t>
            </w:r>
          </w:p>
        </w:tc>
        <w:tc>
          <w:tcPr>
            <w:tcW w:w="5976" w:type="dxa"/>
            <w:tcMar>
              <w:top w:w="90" w:type="dxa"/>
              <w:left w:w="120" w:type="dxa"/>
              <w:bottom w:w="90" w:type="dxa"/>
              <w:right w:w="120" w:type="dxa"/>
            </w:tcMar>
            <w:vAlign w:val="center"/>
          </w:tcPr>
          <w:p w14:paraId="7D53BDAF"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 xml:space="preserve">Final six-country database; six country profiles; comparative synthesis report; simple AAE access guide/referral pathway; and financial-service design and partnership brief with </w:t>
            </w:r>
            <w:proofErr w:type="spellStart"/>
            <w:r w:rsidRPr="00C3218E">
              <w:rPr>
                <w:rFonts w:ascii="Calibri Light" w:hAnsi="Calibri Light" w:cs="Calibri Light"/>
                <w:sz w:val="22"/>
              </w:rPr>
              <w:t>prioritised</w:t>
            </w:r>
            <w:proofErr w:type="spellEnd"/>
            <w:r w:rsidRPr="00C3218E">
              <w:rPr>
                <w:rFonts w:ascii="Calibri Light" w:hAnsi="Calibri Light" w:cs="Calibri Light"/>
                <w:sz w:val="22"/>
              </w:rPr>
              <w:t xml:space="preserve"> recommendations.</w:t>
            </w:r>
          </w:p>
        </w:tc>
      </w:tr>
    </w:tbl>
    <w:p w14:paraId="09144801" w14:textId="77777777" w:rsidR="00F17EEF" w:rsidRPr="00C3218E" w:rsidRDefault="00F17EEF" w:rsidP="0005733C">
      <w:pPr>
        <w:spacing w:after="0"/>
        <w:jc w:val="both"/>
        <w:rPr>
          <w:rFonts w:ascii="Calibri Light" w:hAnsi="Calibri Light" w:cs="Calibri Light"/>
          <w:sz w:val="22"/>
        </w:rPr>
      </w:pPr>
    </w:p>
    <w:p w14:paraId="6A1B012A"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13. Reporting, Language and File Formats</w:t>
      </w:r>
    </w:p>
    <w:p w14:paraId="290887F1"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All reports and practical tools will be submitted in editable Microsoft Word, Excel and PowerPoint formats, as appropriate, together with clean PDF copies. The database must be searchable, updateable and accompanied by clear ownership, verification-date and update fields. English will be used for cross-country products; French versions of relevant user-facing outputs for Senegal and Togo will be agreed during inception.</w:t>
      </w:r>
    </w:p>
    <w:p w14:paraId="475400AB"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14. Duration and Indicative Workplan</w:t>
      </w:r>
    </w:p>
    <w:p w14:paraId="7CAA6AF9" w14:textId="77777777" w:rsidR="00F17EEF" w:rsidRPr="00C3218E" w:rsidRDefault="00000000" w:rsidP="0005733C">
      <w:pPr>
        <w:keepLines/>
        <w:jc w:val="both"/>
        <w:rPr>
          <w:rFonts w:ascii="Calibri Light" w:hAnsi="Calibri Light" w:cs="Calibri Light"/>
          <w:b/>
          <w:bCs/>
          <w:sz w:val="22"/>
        </w:rPr>
      </w:pPr>
      <w:r w:rsidRPr="00C3218E">
        <w:rPr>
          <w:rFonts w:ascii="Calibri Light" w:hAnsi="Calibri Light" w:cs="Calibri Light"/>
          <w:sz w:val="22"/>
        </w:rPr>
        <w:t xml:space="preserve">The consultancy will run for four months from the </w:t>
      </w:r>
      <w:proofErr w:type="gramStart"/>
      <w:r w:rsidRPr="00C3218E">
        <w:rPr>
          <w:rFonts w:ascii="Calibri Light" w:hAnsi="Calibri Light" w:cs="Calibri Light"/>
          <w:sz w:val="22"/>
        </w:rPr>
        <w:t>contract start date</w:t>
      </w:r>
      <w:proofErr w:type="gramEnd"/>
      <w:r w:rsidRPr="00C3218E">
        <w:rPr>
          <w:rFonts w:ascii="Calibri Light" w:hAnsi="Calibri Light" w:cs="Calibri Light"/>
          <w:sz w:val="22"/>
        </w:rPr>
        <w:t>. The proposed schedule is indicative and will be confirmed during inception.</w:t>
      </w:r>
    </w:p>
    <w:tbl>
      <w:tblPr>
        <w:tblStyle w:val="TableGrid"/>
        <w:tblW w:w="0" w:type="auto"/>
        <w:jc w:val="center"/>
        <w:tblLayout w:type="fixed"/>
        <w:tblLook w:val="04A0" w:firstRow="1" w:lastRow="0" w:firstColumn="1" w:lastColumn="0" w:noHBand="0" w:noVBand="1"/>
      </w:tblPr>
      <w:tblGrid>
        <w:gridCol w:w="2392"/>
        <w:gridCol w:w="6264"/>
      </w:tblGrid>
      <w:tr w:rsidR="00167CD5" w:rsidRPr="00C3218E" w14:paraId="6EF2E497" w14:textId="77777777" w:rsidTr="00167CD5">
        <w:trPr>
          <w:cantSplit/>
          <w:tblHeader/>
          <w:jc w:val="center"/>
        </w:trPr>
        <w:tc>
          <w:tcPr>
            <w:tcW w:w="2392" w:type="dxa"/>
            <w:shd w:val="clear" w:color="auto" w:fill="981C4F"/>
            <w:tcMar>
              <w:top w:w="90" w:type="dxa"/>
              <w:left w:w="120" w:type="dxa"/>
              <w:bottom w:w="90" w:type="dxa"/>
              <w:right w:w="120" w:type="dxa"/>
            </w:tcMar>
            <w:vAlign w:val="center"/>
          </w:tcPr>
          <w:p w14:paraId="30D6BDE8" w14:textId="77777777" w:rsidR="00167CD5" w:rsidRPr="00C3218E" w:rsidRDefault="00167CD5" w:rsidP="0005733C">
            <w:pPr>
              <w:jc w:val="both"/>
              <w:rPr>
                <w:rFonts w:ascii="Calibri Light" w:hAnsi="Calibri Light" w:cs="Calibri Light"/>
                <w:sz w:val="22"/>
              </w:rPr>
            </w:pPr>
            <w:r w:rsidRPr="00C3218E">
              <w:rPr>
                <w:rFonts w:ascii="Calibri Light" w:hAnsi="Calibri Light" w:cs="Calibri Light"/>
                <w:b/>
                <w:color w:val="FFFFFF"/>
                <w:sz w:val="22"/>
              </w:rPr>
              <w:t>Phase</w:t>
            </w:r>
          </w:p>
        </w:tc>
        <w:tc>
          <w:tcPr>
            <w:tcW w:w="6264" w:type="dxa"/>
            <w:shd w:val="clear" w:color="auto" w:fill="981C4F"/>
            <w:tcMar>
              <w:top w:w="90" w:type="dxa"/>
              <w:left w:w="120" w:type="dxa"/>
              <w:bottom w:w="90" w:type="dxa"/>
              <w:right w:w="120" w:type="dxa"/>
            </w:tcMar>
            <w:vAlign w:val="center"/>
          </w:tcPr>
          <w:p w14:paraId="3940330A" w14:textId="77777777" w:rsidR="00167CD5" w:rsidRPr="00C3218E" w:rsidRDefault="00167CD5" w:rsidP="0005733C">
            <w:pPr>
              <w:jc w:val="both"/>
              <w:rPr>
                <w:rFonts w:ascii="Calibri Light" w:hAnsi="Calibri Light" w:cs="Calibri Light"/>
                <w:sz w:val="22"/>
              </w:rPr>
            </w:pPr>
            <w:r w:rsidRPr="00C3218E">
              <w:rPr>
                <w:rFonts w:ascii="Calibri Light" w:hAnsi="Calibri Light" w:cs="Calibri Light"/>
                <w:b/>
                <w:color w:val="FFFFFF"/>
                <w:sz w:val="22"/>
              </w:rPr>
              <w:t>Main activities and outputs</w:t>
            </w:r>
          </w:p>
        </w:tc>
      </w:tr>
      <w:tr w:rsidR="00167CD5" w:rsidRPr="00C3218E" w14:paraId="256D4110" w14:textId="77777777" w:rsidTr="00167CD5">
        <w:trPr>
          <w:cantSplit/>
          <w:jc w:val="center"/>
        </w:trPr>
        <w:tc>
          <w:tcPr>
            <w:tcW w:w="2392" w:type="dxa"/>
            <w:tcMar>
              <w:top w:w="90" w:type="dxa"/>
              <w:left w:w="120" w:type="dxa"/>
              <w:bottom w:w="90" w:type="dxa"/>
              <w:right w:w="120" w:type="dxa"/>
            </w:tcMar>
            <w:vAlign w:val="center"/>
          </w:tcPr>
          <w:p w14:paraId="77386C83"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Inception</w:t>
            </w:r>
          </w:p>
        </w:tc>
        <w:tc>
          <w:tcPr>
            <w:tcW w:w="6264" w:type="dxa"/>
            <w:tcMar>
              <w:top w:w="90" w:type="dxa"/>
              <w:left w:w="120" w:type="dxa"/>
              <w:bottom w:w="90" w:type="dxa"/>
              <w:right w:w="120" w:type="dxa"/>
            </w:tcMar>
            <w:vAlign w:val="center"/>
          </w:tcPr>
          <w:p w14:paraId="4AA7E0F0"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Document review, stakeholder mapping, sampling, tools and inception report</w:t>
            </w:r>
          </w:p>
        </w:tc>
      </w:tr>
      <w:tr w:rsidR="00167CD5" w:rsidRPr="00C3218E" w14:paraId="5E2CB434" w14:textId="77777777" w:rsidTr="00167CD5">
        <w:trPr>
          <w:cantSplit/>
          <w:jc w:val="center"/>
        </w:trPr>
        <w:tc>
          <w:tcPr>
            <w:tcW w:w="2392" w:type="dxa"/>
            <w:tcMar>
              <w:top w:w="90" w:type="dxa"/>
              <w:left w:w="120" w:type="dxa"/>
              <w:bottom w:w="90" w:type="dxa"/>
              <w:right w:w="120" w:type="dxa"/>
            </w:tcMar>
            <w:vAlign w:val="center"/>
          </w:tcPr>
          <w:p w14:paraId="6B65CF89"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Landscape scan</w:t>
            </w:r>
          </w:p>
        </w:tc>
        <w:tc>
          <w:tcPr>
            <w:tcW w:w="6264" w:type="dxa"/>
            <w:tcMar>
              <w:top w:w="90" w:type="dxa"/>
              <w:left w:w="120" w:type="dxa"/>
              <w:bottom w:w="90" w:type="dxa"/>
              <w:right w:w="120" w:type="dxa"/>
            </w:tcMar>
            <w:vAlign w:val="center"/>
          </w:tcPr>
          <w:p w14:paraId="3BD7BAF9"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Desk research, provider longlists and preliminary service database</w:t>
            </w:r>
          </w:p>
        </w:tc>
      </w:tr>
      <w:tr w:rsidR="00167CD5" w:rsidRPr="00C3218E" w14:paraId="7E9A7342" w14:textId="77777777" w:rsidTr="00167CD5">
        <w:trPr>
          <w:cantSplit/>
          <w:jc w:val="center"/>
        </w:trPr>
        <w:tc>
          <w:tcPr>
            <w:tcW w:w="2392" w:type="dxa"/>
            <w:tcMar>
              <w:top w:w="90" w:type="dxa"/>
              <w:left w:w="120" w:type="dxa"/>
              <w:bottom w:w="90" w:type="dxa"/>
              <w:right w:w="120" w:type="dxa"/>
            </w:tcMar>
            <w:vAlign w:val="center"/>
          </w:tcPr>
          <w:p w14:paraId="740A0F3F"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Country fieldwork</w:t>
            </w:r>
          </w:p>
        </w:tc>
        <w:tc>
          <w:tcPr>
            <w:tcW w:w="6264" w:type="dxa"/>
            <w:tcMar>
              <w:top w:w="90" w:type="dxa"/>
              <w:left w:w="120" w:type="dxa"/>
              <w:bottom w:w="90" w:type="dxa"/>
              <w:right w:w="120" w:type="dxa"/>
            </w:tcMar>
            <w:vAlign w:val="center"/>
          </w:tcPr>
          <w:p w14:paraId="40F7D45B"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AAE surveys and focus groups; provider and stakeholder interviews</w:t>
            </w:r>
          </w:p>
        </w:tc>
      </w:tr>
      <w:tr w:rsidR="00167CD5" w:rsidRPr="00C3218E" w14:paraId="31366B31" w14:textId="77777777" w:rsidTr="00167CD5">
        <w:trPr>
          <w:cantSplit/>
          <w:jc w:val="center"/>
        </w:trPr>
        <w:tc>
          <w:tcPr>
            <w:tcW w:w="2392" w:type="dxa"/>
            <w:tcMar>
              <w:top w:w="90" w:type="dxa"/>
              <w:left w:w="120" w:type="dxa"/>
              <w:bottom w:w="90" w:type="dxa"/>
              <w:right w:w="120" w:type="dxa"/>
            </w:tcMar>
            <w:vAlign w:val="center"/>
          </w:tcPr>
          <w:p w14:paraId="0644A0C5"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Analysis</w:t>
            </w:r>
          </w:p>
        </w:tc>
        <w:tc>
          <w:tcPr>
            <w:tcW w:w="6264" w:type="dxa"/>
            <w:tcMar>
              <w:top w:w="90" w:type="dxa"/>
              <w:left w:w="120" w:type="dxa"/>
              <w:bottom w:w="90" w:type="dxa"/>
              <w:right w:w="120" w:type="dxa"/>
            </w:tcMar>
            <w:vAlign w:val="center"/>
          </w:tcPr>
          <w:p w14:paraId="11D8475D"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Country assessments, service scoring, draft profiles and recommendations</w:t>
            </w:r>
          </w:p>
        </w:tc>
      </w:tr>
      <w:tr w:rsidR="00167CD5" w:rsidRPr="00C3218E" w14:paraId="5061E298" w14:textId="77777777" w:rsidTr="00167CD5">
        <w:trPr>
          <w:cantSplit/>
          <w:jc w:val="center"/>
        </w:trPr>
        <w:tc>
          <w:tcPr>
            <w:tcW w:w="2392" w:type="dxa"/>
            <w:tcMar>
              <w:top w:w="90" w:type="dxa"/>
              <w:left w:w="120" w:type="dxa"/>
              <w:bottom w:w="90" w:type="dxa"/>
              <w:right w:w="120" w:type="dxa"/>
            </w:tcMar>
            <w:vAlign w:val="center"/>
          </w:tcPr>
          <w:p w14:paraId="0FBAF751"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Validation</w:t>
            </w:r>
          </w:p>
        </w:tc>
        <w:tc>
          <w:tcPr>
            <w:tcW w:w="6264" w:type="dxa"/>
            <w:tcMar>
              <w:top w:w="90" w:type="dxa"/>
              <w:left w:w="120" w:type="dxa"/>
              <w:bottom w:w="90" w:type="dxa"/>
              <w:right w:w="120" w:type="dxa"/>
            </w:tcMar>
            <w:vAlign w:val="center"/>
          </w:tcPr>
          <w:p w14:paraId="12AEA0F7"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Six country sessions, cross-country review and provider-detail verification</w:t>
            </w:r>
          </w:p>
        </w:tc>
      </w:tr>
      <w:tr w:rsidR="00167CD5" w:rsidRPr="00C3218E" w14:paraId="2A367675" w14:textId="77777777" w:rsidTr="00167CD5">
        <w:trPr>
          <w:cantSplit/>
          <w:jc w:val="center"/>
        </w:trPr>
        <w:tc>
          <w:tcPr>
            <w:tcW w:w="2392" w:type="dxa"/>
            <w:tcMar>
              <w:top w:w="90" w:type="dxa"/>
              <w:left w:w="120" w:type="dxa"/>
              <w:bottom w:w="90" w:type="dxa"/>
              <w:right w:w="120" w:type="dxa"/>
            </w:tcMar>
            <w:vAlign w:val="center"/>
          </w:tcPr>
          <w:p w14:paraId="563ECA44" w14:textId="77777777" w:rsidR="00167CD5" w:rsidRPr="00C3218E" w:rsidRDefault="00167CD5" w:rsidP="0005733C">
            <w:pPr>
              <w:spacing w:after="0" w:line="240" w:lineRule="auto"/>
              <w:jc w:val="both"/>
              <w:rPr>
                <w:rFonts w:ascii="Calibri Light" w:hAnsi="Calibri Light" w:cs="Calibri Light"/>
                <w:sz w:val="22"/>
              </w:rPr>
            </w:pPr>
            <w:proofErr w:type="spellStart"/>
            <w:r w:rsidRPr="00C3218E">
              <w:rPr>
                <w:rFonts w:ascii="Calibri Light" w:hAnsi="Calibri Light" w:cs="Calibri Light"/>
                <w:sz w:val="22"/>
              </w:rPr>
              <w:t>Finalisation</w:t>
            </w:r>
            <w:proofErr w:type="spellEnd"/>
          </w:p>
        </w:tc>
        <w:tc>
          <w:tcPr>
            <w:tcW w:w="6264" w:type="dxa"/>
            <w:tcMar>
              <w:top w:w="90" w:type="dxa"/>
              <w:left w:w="120" w:type="dxa"/>
              <w:bottom w:w="90" w:type="dxa"/>
              <w:right w:w="120" w:type="dxa"/>
            </w:tcMar>
            <w:vAlign w:val="center"/>
          </w:tcPr>
          <w:p w14:paraId="41E285DE" w14:textId="77777777" w:rsidR="00167CD5" w:rsidRPr="00C3218E" w:rsidRDefault="00167CD5" w:rsidP="0005733C">
            <w:pPr>
              <w:spacing w:after="0" w:line="240" w:lineRule="auto"/>
              <w:jc w:val="both"/>
              <w:rPr>
                <w:rFonts w:ascii="Calibri Light" w:hAnsi="Calibri Light" w:cs="Calibri Light"/>
                <w:sz w:val="22"/>
              </w:rPr>
            </w:pPr>
            <w:r w:rsidRPr="00C3218E">
              <w:rPr>
                <w:rFonts w:ascii="Calibri Light" w:hAnsi="Calibri Light" w:cs="Calibri Light"/>
                <w:sz w:val="22"/>
              </w:rPr>
              <w:t>Final reports, database, access guide, design brief and dissemination session</w:t>
            </w:r>
          </w:p>
        </w:tc>
      </w:tr>
    </w:tbl>
    <w:p w14:paraId="066B340F" w14:textId="77777777" w:rsidR="00F17EEF" w:rsidRPr="00C3218E" w:rsidRDefault="00F17EEF" w:rsidP="0005733C">
      <w:pPr>
        <w:spacing w:after="0"/>
        <w:jc w:val="both"/>
        <w:rPr>
          <w:rFonts w:ascii="Calibri Light" w:hAnsi="Calibri Light" w:cs="Calibri Light"/>
          <w:sz w:val="22"/>
        </w:rPr>
      </w:pPr>
    </w:p>
    <w:p w14:paraId="59B8D6D9" w14:textId="77777777" w:rsidR="00F17EEF" w:rsidRPr="00C3218E" w:rsidRDefault="00F17EEF" w:rsidP="0005733C">
      <w:pPr>
        <w:pStyle w:val="Heading1"/>
        <w:jc w:val="both"/>
        <w:rPr>
          <w:rFonts w:ascii="Calibri Light" w:hAnsi="Calibri Light" w:cs="Calibri Light"/>
          <w:sz w:val="22"/>
          <w:szCs w:val="22"/>
        </w:rPr>
      </w:pPr>
      <w:r w:rsidRPr="00C3218E">
        <w:rPr>
          <w:rFonts w:ascii="Calibri Light" w:hAnsi="Calibri Light" w:cs="Calibri Light"/>
          <w:sz w:val="22"/>
          <w:szCs w:val="22"/>
        </w:rPr>
        <w:t>15. Quality Assurance, Ethics and Data Management</w:t>
      </w:r>
    </w:p>
    <w:p w14:paraId="231733E7"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Obtain informed consent and explain the purpose and intended use of information before every interview, survey or focus group.</w:t>
      </w:r>
    </w:p>
    <w:p w14:paraId="4C2EDC11"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Avoid collecting unnecessary personal or commercially sensitive information and report enterprise experiences in a manner agreed with respondents.</w:t>
      </w:r>
    </w:p>
    <w:p w14:paraId="3CBD4607"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lastRenderedPageBreak/>
        <w:t>Verify provider and product information directly with providers before publication and record the date and source of verification.</w:t>
      </w:r>
    </w:p>
    <w:p w14:paraId="443449D1"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Distinguish advertised terms from actual AAE experience and do not imply that AFSA endorses a provider merely because it appears in the mapping.</w:t>
      </w:r>
    </w:p>
    <w:p w14:paraId="2500B783"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Store the database in an updateable format and recommend clear ownership, review dates and a process for correcting outdated information.</w:t>
      </w:r>
    </w:p>
    <w:p w14:paraId="278CD53D"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Use common definitions and tools across countries, translate where needed, and apply gender- and youth-responsive analysis.</w:t>
      </w:r>
    </w:p>
    <w:p w14:paraId="60DD44EC" w14:textId="77777777" w:rsidR="00F17EEF" w:rsidRPr="00C3218E" w:rsidRDefault="00000000" w:rsidP="0005733C">
      <w:pPr>
        <w:pStyle w:val="ListBullet"/>
        <w:keepLines/>
        <w:spacing w:after="60" w:line="252" w:lineRule="auto"/>
        <w:jc w:val="both"/>
        <w:rPr>
          <w:rFonts w:ascii="Calibri Light" w:hAnsi="Calibri Light" w:cs="Calibri Light"/>
          <w:b/>
          <w:bCs/>
          <w:sz w:val="22"/>
        </w:rPr>
      </w:pPr>
      <w:r w:rsidRPr="00C3218E">
        <w:rPr>
          <w:rFonts w:ascii="Calibri Light" w:hAnsi="Calibri Light" w:cs="Calibri Light"/>
          <w:sz w:val="22"/>
        </w:rPr>
        <w:t>Submit anonymised or de-identified research records to AFSA in accordance with the agreed data-management plan.</w:t>
      </w:r>
    </w:p>
    <w:p w14:paraId="23AA01AE"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16. Expected Use of the Findings</w:t>
      </w:r>
    </w:p>
    <w:p w14:paraId="4C0F31EC" w14:textId="77777777" w:rsidR="002E29D8" w:rsidRPr="00C3218E" w:rsidRDefault="00000000">
      <w:pPr>
        <w:rPr>
          <w:rFonts w:ascii="Calibri Light" w:hAnsi="Calibri Light" w:cs="Calibri Light"/>
          <w:sz w:val="22"/>
        </w:rPr>
      </w:pPr>
      <w:r w:rsidRPr="00C3218E">
        <w:rPr>
          <w:rFonts w:ascii="Calibri Light" w:hAnsi="Calibri Light" w:cs="Calibri Light"/>
          <w:sz w:val="22"/>
        </w:rPr>
        <w:t>AFSA and national AAE platforms will use the findings to refer enterprises to suitable services; tailor bookkeeping, financial-literacy and investment-readiness support; convene targeted provider–AAE dialogues; negotiate partnerships; identify services suitable for piloting; and strengthen advocacy on access barriers. Providers may use the evidence to refine client segmentation, credit assessment, repayment schedules, delivery channels, service bundles and partnerships.</w:t>
      </w:r>
    </w:p>
    <w:p w14:paraId="7DFB1009"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17. Key Risks and Mitigation Measures</w:t>
      </w:r>
    </w:p>
    <w:p w14:paraId="23A3194A"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Rapid changes in provider information: record verification dates, assign update responsibility and recommend a light annual review process.</w:t>
      </w:r>
    </w:p>
    <w:p w14:paraId="430DF4A3"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 xml:space="preserve">Limited disclosure by providers: </w:t>
      </w:r>
      <w:proofErr w:type="gramStart"/>
      <w:r w:rsidRPr="00C3218E">
        <w:rPr>
          <w:rFonts w:ascii="Calibri Light" w:hAnsi="Calibri Light" w:cs="Calibri Light"/>
          <w:sz w:val="22"/>
        </w:rPr>
        <w:t>use</w:t>
      </w:r>
      <w:proofErr w:type="gramEnd"/>
      <w:r w:rsidRPr="00C3218E">
        <w:rPr>
          <w:rFonts w:ascii="Calibri Light" w:hAnsi="Calibri Light" w:cs="Calibri Light"/>
          <w:sz w:val="22"/>
        </w:rPr>
        <w:t xml:space="preserve"> official information, confidentiality where appropriate, triangulation and clear statements of data limitations.</w:t>
      </w:r>
    </w:p>
    <w:p w14:paraId="096EF95E"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Over-representation of stronger enterprises: apply purposive sampling quotas for enterprise stage, location, sector, gender, youth and formalisation status.</w:t>
      </w:r>
    </w:p>
    <w:p w14:paraId="01615110"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Over-generalised six-country findings: prepare country profiles first and retain important contextual differences in the synthesis.</w:t>
      </w:r>
    </w:p>
    <w:p w14:paraId="0D6F71FC"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Overemphasis on loans: assess the full range of capital, savings, transactions, insurance, assets, markets, support and income-enhancing opportunities.</w:t>
      </w:r>
    </w:p>
    <w:p w14:paraId="0774999B"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18. Budget Framework</w:t>
      </w:r>
    </w:p>
    <w:p w14:paraId="1F35921C" w14:textId="77777777" w:rsidR="002E29D8" w:rsidRPr="00C3218E" w:rsidRDefault="00000000">
      <w:pPr>
        <w:rPr>
          <w:rFonts w:ascii="Calibri Light" w:hAnsi="Calibri Light" w:cs="Calibri Light"/>
          <w:sz w:val="22"/>
        </w:rPr>
      </w:pPr>
      <w:r w:rsidRPr="00C3218E">
        <w:rPr>
          <w:rFonts w:ascii="Calibri Light" w:hAnsi="Calibri Light" w:cs="Calibri Light"/>
          <w:sz w:val="22"/>
        </w:rPr>
        <w:t>The financial proposal should provide for inception and tool development; country researchers and coordination; translation and interpretation; data collection and communication; travel where required; national validation meetings; data analysis; report writing and design; dissemination; taxes; reimbursable costs; and contingency. Country-level and cross-country costs should be shown separately, with all assumptions clearly stated.</w:t>
      </w:r>
    </w:p>
    <w:p w14:paraId="6533003E"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19. Success Measures</w:t>
      </w:r>
    </w:p>
    <w:p w14:paraId="709D3854"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A verified, searchable provider and service database is completed for all six countries and accepted by AFSA and the national platforms.</w:t>
      </w:r>
    </w:p>
    <w:p w14:paraId="5A86E2F4"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AAEs can use the final access guide to identify suitable services, understand requirements and prepare an application or referral.</w:t>
      </w:r>
    </w:p>
    <w:p w14:paraId="03BD8EF9"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Providers validate the assessment and identify practical product, partnership or delivery changes for further discussion or piloting.</w:t>
      </w:r>
    </w:p>
    <w:p w14:paraId="1A22A241"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AFSA and national platforms integrate the evidence into enterprise support, matchmaking, partnership development and advocacy.</w:t>
      </w:r>
    </w:p>
    <w:p w14:paraId="3DB74924" w14:textId="77777777" w:rsidR="002E29D8" w:rsidRPr="00C3218E" w:rsidRDefault="00000000">
      <w:pPr>
        <w:pStyle w:val="ListBullet"/>
        <w:rPr>
          <w:rFonts w:ascii="Calibri Light" w:hAnsi="Calibri Light" w:cs="Calibri Light"/>
          <w:sz w:val="22"/>
        </w:rPr>
      </w:pPr>
      <w:r w:rsidRPr="00C3218E">
        <w:rPr>
          <w:rFonts w:ascii="Calibri Light" w:hAnsi="Calibri Light" w:cs="Calibri Light"/>
          <w:sz w:val="22"/>
        </w:rPr>
        <w:t>A manageable mechanism is established for keeping provider information current beyond the study period.</w:t>
      </w:r>
    </w:p>
    <w:p w14:paraId="3B7DC664"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lastRenderedPageBreak/>
        <w:t>20. Proposal Evaluation and Selection</w:t>
      </w:r>
    </w:p>
    <w:p w14:paraId="6330BBC6" w14:textId="77777777" w:rsidR="00F17EEF" w:rsidRPr="00C3218E" w:rsidRDefault="00000000" w:rsidP="0005733C">
      <w:pPr>
        <w:keepLines/>
        <w:jc w:val="both"/>
        <w:rPr>
          <w:rFonts w:ascii="Calibri Light" w:hAnsi="Calibri Light" w:cs="Calibri Light"/>
          <w:b/>
          <w:bCs/>
          <w:sz w:val="22"/>
        </w:rPr>
      </w:pPr>
      <w:r w:rsidRPr="00C3218E">
        <w:rPr>
          <w:rFonts w:ascii="Calibri Light" w:hAnsi="Calibri Light" w:cs="Calibri Light"/>
          <w:b/>
          <w:bCs/>
          <w:sz w:val="22"/>
        </w:rPr>
        <w:t>An AFSA evaluation committee will assess eligible proposals. Selection will consider the following:</w:t>
      </w:r>
    </w:p>
    <w:tbl>
      <w:tblPr>
        <w:tblStyle w:val="TableGrid"/>
        <w:tblW w:w="0" w:type="auto"/>
        <w:jc w:val="center"/>
        <w:tblLayout w:type="fixed"/>
        <w:tblLook w:val="04A0" w:firstRow="1" w:lastRow="0" w:firstColumn="1" w:lastColumn="0" w:noHBand="0" w:noVBand="1"/>
      </w:tblPr>
      <w:tblGrid>
        <w:gridCol w:w="7560"/>
        <w:gridCol w:w="1944"/>
      </w:tblGrid>
      <w:tr w:rsidR="00F17EEF" w:rsidRPr="00C3218E" w14:paraId="217091BB" w14:textId="77777777" w:rsidTr="00EB503F">
        <w:trPr>
          <w:cantSplit/>
          <w:tblHeader/>
          <w:jc w:val="center"/>
        </w:trPr>
        <w:tc>
          <w:tcPr>
            <w:tcW w:w="7560" w:type="dxa"/>
            <w:shd w:val="clear" w:color="auto" w:fill="981C4F"/>
            <w:tcMar>
              <w:top w:w="90" w:type="dxa"/>
              <w:left w:w="120" w:type="dxa"/>
              <w:bottom w:w="90" w:type="dxa"/>
              <w:right w:w="120" w:type="dxa"/>
            </w:tcMar>
            <w:vAlign w:val="center"/>
          </w:tcPr>
          <w:p w14:paraId="5FA085C7" w14:textId="77777777" w:rsidR="00F17EEF" w:rsidRPr="00C3218E" w:rsidRDefault="00000000" w:rsidP="0005733C">
            <w:pPr>
              <w:jc w:val="both"/>
              <w:rPr>
                <w:rFonts w:ascii="Calibri Light" w:hAnsi="Calibri Light" w:cs="Calibri Light"/>
                <w:sz w:val="22"/>
              </w:rPr>
            </w:pPr>
            <w:r w:rsidRPr="00C3218E">
              <w:rPr>
                <w:rFonts w:ascii="Calibri Light" w:hAnsi="Calibri Light" w:cs="Calibri Light"/>
                <w:b/>
                <w:color w:val="FFFFFF"/>
                <w:sz w:val="22"/>
              </w:rPr>
              <w:t>Criterion</w:t>
            </w:r>
          </w:p>
        </w:tc>
        <w:tc>
          <w:tcPr>
            <w:tcW w:w="1944" w:type="dxa"/>
            <w:shd w:val="clear" w:color="auto" w:fill="981C4F"/>
            <w:tcMar>
              <w:top w:w="90" w:type="dxa"/>
              <w:left w:w="120" w:type="dxa"/>
              <w:bottom w:w="90" w:type="dxa"/>
              <w:right w:w="120" w:type="dxa"/>
            </w:tcMar>
            <w:vAlign w:val="center"/>
          </w:tcPr>
          <w:p w14:paraId="2C38FDE2" w14:textId="77777777" w:rsidR="00F17EEF" w:rsidRPr="00C3218E" w:rsidRDefault="00000000" w:rsidP="0005733C">
            <w:pPr>
              <w:jc w:val="both"/>
              <w:rPr>
                <w:rFonts w:ascii="Calibri Light" w:hAnsi="Calibri Light" w:cs="Calibri Light"/>
                <w:sz w:val="22"/>
              </w:rPr>
            </w:pPr>
            <w:r w:rsidRPr="00C3218E">
              <w:rPr>
                <w:rFonts w:ascii="Calibri Light" w:hAnsi="Calibri Light" w:cs="Calibri Light"/>
                <w:b/>
                <w:color w:val="FFFFFF"/>
                <w:sz w:val="22"/>
              </w:rPr>
              <w:t>Indicative weight</w:t>
            </w:r>
          </w:p>
        </w:tc>
      </w:tr>
      <w:tr w:rsidR="00F17EEF" w:rsidRPr="00C3218E" w14:paraId="503C0F4B" w14:textId="77777777">
        <w:trPr>
          <w:cantSplit/>
          <w:jc w:val="center"/>
        </w:trPr>
        <w:tc>
          <w:tcPr>
            <w:tcW w:w="7560" w:type="dxa"/>
            <w:tcMar>
              <w:top w:w="90" w:type="dxa"/>
              <w:left w:w="120" w:type="dxa"/>
              <w:bottom w:w="90" w:type="dxa"/>
              <w:right w:w="120" w:type="dxa"/>
            </w:tcMar>
            <w:vAlign w:val="center"/>
          </w:tcPr>
          <w:p w14:paraId="76938979"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Understanding of the assignment and responsiveness to the ToRs</w:t>
            </w:r>
          </w:p>
        </w:tc>
        <w:tc>
          <w:tcPr>
            <w:tcW w:w="1944" w:type="dxa"/>
            <w:tcMar>
              <w:top w:w="90" w:type="dxa"/>
              <w:left w:w="120" w:type="dxa"/>
              <w:bottom w:w="90" w:type="dxa"/>
              <w:right w:w="120" w:type="dxa"/>
            </w:tcMar>
            <w:vAlign w:val="center"/>
          </w:tcPr>
          <w:p w14:paraId="150DDF4B"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20%</w:t>
            </w:r>
          </w:p>
        </w:tc>
      </w:tr>
      <w:tr w:rsidR="00F17EEF" w:rsidRPr="00C3218E" w14:paraId="08EFD0D6" w14:textId="77777777">
        <w:trPr>
          <w:cantSplit/>
          <w:jc w:val="center"/>
        </w:trPr>
        <w:tc>
          <w:tcPr>
            <w:tcW w:w="7560" w:type="dxa"/>
            <w:tcMar>
              <w:top w:w="90" w:type="dxa"/>
              <w:left w:w="120" w:type="dxa"/>
              <w:bottom w:w="90" w:type="dxa"/>
              <w:right w:w="120" w:type="dxa"/>
            </w:tcMar>
            <w:vAlign w:val="center"/>
          </w:tcPr>
          <w:p w14:paraId="2B23A24A"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Quality, feasibility and inclusiveness of the proposed methodology</w:t>
            </w:r>
          </w:p>
        </w:tc>
        <w:tc>
          <w:tcPr>
            <w:tcW w:w="1944" w:type="dxa"/>
            <w:tcMar>
              <w:top w:w="90" w:type="dxa"/>
              <w:left w:w="120" w:type="dxa"/>
              <w:bottom w:w="90" w:type="dxa"/>
              <w:right w:w="120" w:type="dxa"/>
            </w:tcMar>
            <w:vAlign w:val="center"/>
          </w:tcPr>
          <w:p w14:paraId="1115B5E5"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30%</w:t>
            </w:r>
          </w:p>
        </w:tc>
      </w:tr>
      <w:tr w:rsidR="00F17EEF" w:rsidRPr="00C3218E" w14:paraId="30A55E4E" w14:textId="77777777">
        <w:trPr>
          <w:cantSplit/>
          <w:jc w:val="center"/>
        </w:trPr>
        <w:tc>
          <w:tcPr>
            <w:tcW w:w="7560" w:type="dxa"/>
            <w:tcMar>
              <w:top w:w="90" w:type="dxa"/>
              <w:left w:w="120" w:type="dxa"/>
              <w:bottom w:w="90" w:type="dxa"/>
              <w:right w:w="120" w:type="dxa"/>
            </w:tcMar>
            <w:vAlign w:val="center"/>
          </w:tcPr>
          <w:p w14:paraId="732B4F85"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Relevant qualifications, team composition and multi-country experience</w:t>
            </w:r>
          </w:p>
        </w:tc>
        <w:tc>
          <w:tcPr>
            <w:tcW w:w="1944" w:type="dxa"/>
            <w:tcMar>
              <w:top w:w="90" w:type="dxa"/>
              <w:left w:w="120" w:type="dxa"/>
              <w:bottom w:w="90" w:type="dxa"/>
              <w:right w:w="120" w:type="dxa"/>
            </w:tcMar>
            <w:vAlign w:val="center"/>
          </w:tcPr>
          <w:p w14:paraId="5F96A0D8"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25%</w:t>
            </w:r>
          </w:p>
        </w:tc>
      </w:tr>
      <w:tr w:rsidR="00F17EEF" w:rsidRPr="00C3218E" w14:paraId="7B5BBD5C" w14:textId="77777777">
        <w:trPr>
          <w:cantSplit/>
          <w:jc w:val="center"/>
        </w:trPr>
        <w:tc>
          <w:tcPr>
            <w:tcW w:w="7560" w:type="dxa"/>
            <w:tcMar>
              <w:top w:w="90" w:type="dxa"/>
              <w:left w:w="120" w:type="dxa"/>
              <w:bottom w:w="90" w:type="dxa"/>
              <w:right w:w="120" w:type="dxa"/>
            </w:tcMar>
            <w:vAlign w:val="center"/>
          </w:tcPr>
          <w:p w14:paraId="531F9606"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Work plan, quality assurance and ability to deliver within 16 weeks</w:t>
            </w:r>
          </w:p>
        </w:tc>
        <w:tc>
          <w:tcPr>
            <w:tcW w:w="1944" w:type="dxa"/>
            <w:tcMar>
              <w:top w:w="90" w:type="dxa"/>
              <w:left w:w="120" w:type="dxa"/>
              <w:bottom w:w="90" w:type="dxa"/>
              <w:right w:w="120" w:type="dxa"/>
            </w:tcMar>
            <w:vAlign w:val="center"/>
          </w:tcPr>
          <w:p w14:paraId="7DCB4D27"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10%</w:t>
            </w:r>
          </w:p>
        </w:tc>
      </w:tr>
      <w:tr w:rsidR="00F17EEF" w:rsidRPr="00C3218E" w14:paraId="0F42C431" w14:textId="77777777">
        <w:trPr>
          <w:cantSplit/>
          <w:jc w:val="center"/>
        </w:trPr>
        <w:tc>
          <w:tcPr>
            <w:tcW w:w="7560" w:type="dxa"/>
            <w:tcMar>
              <w:top w:w="90" w:type="dxa"/>
              <w:left w:w="120" w:type="dxa"/>
              <w:bottom w:w="90" w:type="dxa"/>
              <w:right w:w="120" w:type="dxa"/>
            </w:tcMar>
            <w:vAlign w:val="center"/>
          </w:tcPr>
          <w:p w14:paraId="097C7DB8"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Financial proposal and value for money</w:t>
            </w:r>
          </w:p>
        </w:tc>
        <w:tc>
          <w:tcPr>
            <w:tcW w:w="1944" w:type="dxa"/>
            <w:tcMar>
              <w:top w:w="90" w:type="dxa"/>
              <w:left w:w="120" w:type="dxa"/>
              <w:bottom w:w="90" w:type="dxa"/>
              <w:right w:w="120" w:type="dxa"/>
            </w:tcMar>
            <w:vAlign w:val="center"/>
          </w:tcPr>
          <w:p w14:paraId="07EFA2BC" w14:textId="77777777" w:rsidR="00F17EEF" w:rsidRPr="00C3218E" w:rsidRDefault="00000000" w:rsidP="0005733C">
            <w:pPr>
              <w:spacing w:after="0" w:line="240" w:lineRule="auto"/>
              <w:jc w:val="both"/>
              <w:rPr>
                <w:rFonts w:ascii="Calibri Light" w:hAnsi="Calibri Light" w:cs="Calibri Light"/>
                <w:sz w:val="22"/>
              </w:rPr>
            </w:pPr>
            <w:r w:rsidRPr="00C3218E">
              <w:rPr>
                <w:rFonts w:ascii="Calibri Light" w:hAnsi="Calibri Light" w:cs="Calibri Light"/>
                <w:sz w:val="22"/>
              </w:rPr>
              <w:t>15%</w:t>
            </w:r>
          </w:p>
        </w:tc>
      </w:tr>
    </w:tbl>
    <w:p w14:paraId="0F6D40A1" w14:textId="77777777" w:rsidR="00F17EEF" w:rsidRPr="00C3218E" w:rsidRDefault="00F17EEF" w:rsidP="0005733C">
      <w:pPr>
        <w:spacing w:after="0"/>
        <w:jc w:val="both"/>
        <w:rPr>
          <w:rFonts w:ascii="Calibri Light" w:hAnsi="Calibri Light" w:cs="Calibri Light"/>
          <w:sz w:val="22"/>
        </w:rPr>
      </w:pPr>
    </w:p>
    <w:p w14:paraId="6D551622" w14:textId="77777777"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AFSA may verify references, request clarification, invite shortlisted applicants to a presentation or negotiation, and make the final selection in line with the available budget and procurement procedures.</w:t>
      </w:r>
    </w:p>
    <w:p w14:paraId="743F18A6"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21. Contractual and Administrative Provisions</w:t>
      </w:r>
    </w:p>
    <w:p w14:paraId="33A193B6"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The successful applicant will enter into a contract with AFSA. These ToRs, the accepted technical and financial proposals, and the agreed work plan will form part of the contract.</w:t>
      </w:r>
    </w:p>
    <w:p w14:paraId="58AC8D40"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The consultant or firm will be responsible for all tax obligations arising from its legal status and the assignment.</w:t>
      </w:r>
    </w:p>
    <w:p w14:paraId="6EB3ABCF"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 xml:space="preserve">The consultant and team will comply with AFSA’s applicable safeguarding, confidentiality, </w:t>
      </w:r>
      <w:proofErr w:type="gramStart"/>
      <w:r w:rsidRPr="00C3218E">
        <w:rPr>
          <w:rFonts w:ascii="Calibri Light" w:hAnsi="Calibri Light" w:cs="Calibri Light"/>
          <w:sz w:val="22"/>
        </w:rPr>
        <w:t>data-protection</w:t>
      </w:r>
      <w:proofErr w:type="gramEnd"/>
      <w:r w:rsidRPr="00C3218E">
        <w:rPr>
          <w:rFonts w:ascii="Calibri Light" w:hAnsi="Calibri Light" w:cs="Calibri Light"/>
          <w:sz w:val="22"/>
        </w:rPr>
        <w:t>, financial and administrative procedures.</w:t>
      </w:r>
    </w:p>
    <w:p w14:paraId="7DD3230D"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All original outputs, datasets and tools produced under the assignment will be submitted to AFSA. Ownership and permitted use will be governed by the consultancy contract.</w:t>
      </w:r>
    </w:p>
    <w:p w14:paraId="27F4977F"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Any actual or potential conflict of interest must be disclosed in the proposal and whenever it arises during the assignment.</w:t>
      </w:r>
    </w:p>
    <w:p w14:paraId="6D649AA8"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22. AFSA’s Rights</w:t>
      </w:r>
    </w:p>
    <w:p w14:paraId="478E0FB9" w14:textId="77777777" w:rsidR="00F17EEF" w:rsidRPr="00C3218E" w:rsidRDefault="00000000" w:rsidP="00167CD5">
      <w:pPr>
        <w:keepLines/>
        <w:jc w:val="both"/>
        <w:rPr>
          <w:rFonts w:ascii="Calibri Light" w:hAnsi="Calibri Light" w:cs="Calibri Light"/>
          <w:sz w:val="22"/>
        </w:rPr>
      </w:pPr>
      <w:r w:rsidRPr="00C3218E">
        <w:rPr>
          <w:rFonts w:ascii="Calibri Light" w:hAnsi="Calibri Light" w:cs="Calibri Light"/>
          <w:sz w:val="22"/>
        </w:rPr>
        <w:t>AFSA reserves the right to cancel or amend this call, reject any or all proposals, or discontinue the procurement process where there is insufficient competition, no proposal meets the requirements, proposals exceed the available budget, funding or programme circumstances change, or another justified organisational reason arises. AFSA is not obliged to reimburse applicants for costs incurred in preparing or submitting proposals.</w:t>
      </w:r>
    </w:p>
    <w:p w14:paraId="2FFE0D3E"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t>23. Proposal Requirements</w:t>
      </w:r>
    </w:p>
    <w:p w14:paraId="404EBF9E" w14:textId="77777777" w:rsidR="00F17EEF" w:rsidRPr="00C3218E" w:rsidRDefault="00000000" w:rsidP="0005733C">
      <w:pPr>
        <w:keepLines/>
        <w:jc w:val="both"/>
        <w:rPr>
          <w:rFonts w:ascii="Calibri Light" w:hAnsi="Calibri Light" w:cs="Calibri Light"/>
          <w:b/>
          <w:bCs/>
          <w:sz w:val="22"/>
        </w:rPr>
      </w:pPr>
      <w:r w:rsidRPr="00C3218E">
        <w:rPr>
          <w:rFonts w:ascii="Calibri Light" w:hAnsi="Calibri Light" w:cs="Calibri Light"/>
          <w:b/>
          <w:bCs/>
          <w:sz w:val="22"/>
        </w:rPr>
        <w:t>The complete offer should contain:</w:t>
      </w:r>
    </w:p>
    <w:p w14:paraId="2819DDCD"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 signed bid letter and the applicant’s contact details.</w:t>
      </w:r>
    </w:p>
    <w:p w14:paraId="035ECD4E"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 technical proposal of not more than six pages, excluding annexes.</w:t>
      </w:r>
    </w:p>
    <w:p w14:paraId="66F6D5EB"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 clear methodology, sampling plan, country-coverage arrangement, work plan and team structure.</w:t>
      </w:r>
    </w:p>
    <w:p w14:paraId="26797522"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CVs of all proposed team members and a statement of their availability.</w:t>
      </w:r>
    </w:p>
    <w:p w14:paraId="1C8F6E3F"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Evidence of at least two comparable assignments, including client references and sample reports.</w:t>
      </w:r>
    </w:p>
    <w:p w14:paraId="45853902"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 financial proposal in USD showing professional fees, country-level costs, travel, translation, data collection, validation, reporting, taxes and all reimbursable expenses.</w:t>
      </w:r>
    </w:p>
    <w:p w14:paraId="22E8DE91" w14:textId="77777777" w:rsidR="00F17EEF" w:rsidRPr="00C3218E" w:rsidRDefault="00000000" w:rsidP="0005733C">
      <w:pPr>
        <w:pStyle w:val="ListBullet"/>
        <w:keepLines/>
        <w:spacing w:after="60" w:line="252" w:lineRule="auto"/>
        <w:jc w:val="both"/>
        <w:rPr>
          <w:rFonts w:ascii="Calibri Light" w:hAnsi="Calibri Light" w:cs="Calibri Light"/>
          <w:sz w:val="22"/>
        </w:rPr>
      </w:pPr>
      <w:r w:rsidRPr="00C3218E">
        <w:rPr>
          <w:rFonts w:ascii="Calibri Light" w:hAnsi="Calibri Light" w:cs="Calibri Light"/>
          <w:sz w:val="22"/>
        </w:rPr>
        <w:t>A declaration of conflicts of interest and any assumptions or exclusions affecting the offer.</w:t>
      </w:r>
    </w:p>
    <w:p w14:paraId="5AAF162C" w14:textId="77777777" w:rsidR="00167CD5" w:rsidRPr="00C3218E" w:rsidRDefault="00167CD5" w:rsidP="0005733C">
      <w:pPr>
        <w:keepLines/>
        <w:jc w:val="both"/>
        <w:rPr>
          <w:rFonts w:ascii="Calibri Light" w:hAnsi="Calibri Light" w:cs="Calibri Light"/>
          <w:sz w:val="22"/>
        </w:rPr>
      </w:pPr>
    </w:p>
    <w:p w14:paraId="09F28A5A" w14:textId="77777777" w:rsidR="002E29D8" w:rsidRPr="00C3218E" w:rsidRDefault="00000000">
      <w:pPr>
        <w:pStyle w:val="Heading1"/>
        <w:rPr>
          <w:rFonts w:ascii="Calibri Light" w:hAnsi="Calibri Light" w:cs="Calibri Light"/>
          <w:sz w:val="22"/>
          <w:szCs w:val="22"/>
        </w:rPr>
      </w:pPr>
      <w:r w:rsidRPr="00C3218E">
        <w:rPr>
          <w:rFonts w:ascii="Calibri Light" w:hAnsi="Calibri Light" w:cs="Calibri Light"/>
          <w:sz w:val="22"/>
          <w:szCs w:val="22"/>
        </w:rPr>
        <w:lastRenderedPageBreak/>
        <w:t>24. Submission Instructions and Deadline</w:t>
      </w:r>
    </w:p>
    <w:p w14:paraId="38B2558B" w14:textId="37C66995" w:rsidR="00F17EEF" w:rsidRPr="00C3218E" w:rsidRDefault="00000000" w:rsidP="0005733C">
      <w:pPr>
        <w:keepLines/>
        <w:jc w:val="both"/>
        <w:rPr>
          <w:rFonts w:ascii="Calibri Light" w:hAnsi="Calibri Light" w:cs="Calibri Light"/>
          <w:sz w:val="22"/>
        </w:rPr>
      </w:pPr>
      <w:r w:rsidRPr="00C3218E">
        <w:rPr>
          <w:rFonts w:ascii="Calibri Light" w:hAnsi="Calibri Light" w:cs="Calibri Light"/>
          <w:sz w:val="22"/>
        </w:rPr>
        <w:t xml:space="preserve">Offers should be emailed to </w:t>
      </w:r>
      <w:hyperlink r:id="rId10" w:history="1">
        <w:r w:rsidR="00C3218E" w:rsidRPr="003B2625">
          <w:rPr>
            <w:rStyle w:val="Hyperlink"/>
            <w:rFonts w:ascii="Calibri Light" w:hAnsi="Calibri Light" w:cs="Calibri Light"/>
            <w:sz w:val="22"/>
          </w:rPr>
          <w:t>afsa@afsafrica.org</w:t>
        </w:r>
      </w:hyperlink>
      <w:r w:rsidR="00C3218E">
        <w:rPr>
          <w:rFonts w:ascii="Calibri Light" w:hAnsi="Calibri Light" w:cs="Calibri Light"/>
          <w:sz w:val="22"/>
        </w:rPr>
        <w:t xml:space="preserve"> </w:t>
      </w:r>
      <w:r w:rsidRPr="00C3218E">
        <w:rPr>
          <w:rFonts w:ascii="Calibri Light" w:hAnsi="Calibri Light" w:cs="Calibri Light"/>
          <w:sz w:val="22"/>
        </w:rPr>
        <w:t xml:space="preserve"> using the subject line </w:t>
      </w:r>
      <w:r w:rsidRPr="00C3218E">
        <w:rPr>
          <w:rFonts w:ascii="Calibri Light" w:hAnsi="Calibri Light" w:cs="Calibri Light"/>
          <w:b/>
          <w:bCs/>
          <w:i/>
          <w:iCs/>
          <w:sz w:val="22"/>
        </w:rPr>
        <w:t>‘AFSA - Financial Services and Income-Enhancing Opportunities Study’. The submission deadline is 28 August 2026 at 5:00pm East African Time</w:t>
      </w:r>
      <w:r w:rsidRPr="00C3218E">
        <w:rPr>
          <w:rFonts w:ascii="Calibri Light" w:hAnsi="Calibri Light" w:cs="Calibri Light"/>
          <w:sz w:val="22"/>
        </w:rPr>
        <w:t>. Late or incomplete submissions may not be considered.</w:t>
      </w:r>
    </w:p>
    <w:sectPr w:rsidR="00F17EEF" w:rsidRPr="00C3218E" w:rsidSect="00034616">
      <w:footerReference w:type="default" r:id="rId11"/>
      <w:pgSz w:w="11909" w:h="16834"/>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A0AEF" w14:textId="77777777" w:rsidR="00A61A5B" w:rsidRDefault="00A61A5B">
      <w:pPr>
        <w:spacing w:after="0" w:line="240" w:lineRule="auto"/>
      </w:pPr>
      <w:r>
        <w:separator/>
      </w:r>
    </w:p>
  </w:endnote>
  <w:endnote w:type="continuationSeparator" w:id="0">
    <w:p w14:paraId="6858C95E" w14:textId="77777777" w:rsidR="00A61A5B" w:rsidRDefault="00A61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D20C" w14:textId="77777777" w:rsidR="00F17EEF" w:rsidRDefault="00000000">
    <w:pPr>
      <w:pStyle w:val="Footer"/>
      <w:jc w:val="center"/>
    </w:pPr>
    <w:r>
      <w:fldChar w:fldCharType="begin"/>
    </w:r>
    <w:r>
      <w:instrText>PAGE</w:instrText>
    </w:r>
    <w:r>
      <w:fldChar w:fldCharType="separate"/>
    </w:r>
    <w:r w:rsidR="0005733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1D71" w14:textId="77777777" w:rsidR="00A61A5B" w:rsidRDefault="00A61A5B">
      <w:pPr>
        <w:spacing w:after="0" w:line="240" w:lineRule="auto"/>
      </w:pPr>
      <w:r>
        <w:separator/>
      </w:r>
    </w:p>
  </w:footnote>
  <w:footnote w:type="continuationSeparator" w:id="0">
    <w:p w14:paraId="55A5C5C0" w14:textId="77777777" w:rsidR="00A61A5B" w:rsidRDefault="00A61A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1868840">
    <w:abstractNumId w:val="8"/>
  </w:num>
  <w:num w:numId="2" w16cid:durableId="1559590144">
    <w:abstractNumId w:val="6"/>
  </w:num>
  <w:num w:numId="3" w16cid:durableId="938834901">
    <w:abstractNumId w:val="5"/>
  </w:num>
  <w:num w:numId="4" w16cid:durableId="1980303697">
    <w:abstractNumId w:val="4"/>
  </w:num>
  <w:num w:numId="5" w16cid:durableId="1752266974">
    <w:abstractNumId w:val="7"/>
  </w:num>
  <w:num w:numId="6" w16cid:durableId="499539453">
    <w:abstractNumId w:val="3"/>
  </w:num>
  <w:num w:numId="7" w16cid:durableId="1814177406">
    <w:abstractNumId w:val="2"/>
  </w:num>
  <w:num w:numId="8" w16cid:durableId="10570751">
    <w:abstractNumId w:val="1"/>
  </w:num>
  <w:num w:numId="9" w16cid:durableId="139434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733C"/>
    <w:rsid w:val="0006063C"/>
    <w:rsid w:val="0015074B"/>
    <w:rsid w:val="00167CD5"/>
    <w:rsid w:val="0029639D"/>
    <w:rsid w:val="002E29D8"/>
    <w:rsid w:val="00323B58"/>
    <w:rsid w:val="00326F90"/>
    <w:rsid w:val="00875FD9"/>
    <w:rsid w:val="008A1081"/>
    <w:rsid w:val="00A61A5B"/>
    <w:rsid w:val="00AA1D8D"/>
    <w:rsid w:val="00B47730"/>
    <w:rsid w:val="00C3218E"/>
    <w:rsid w:val="00CB0664"/>
    <w:rsid w:val="00D0402B"/>
    <w:rsid w:val="00E83E20"/>
    <w:rsid w:val="00EB503F"/>
    <w:rsid w:val="00EE15FA"/>
    <w:rsid w:val="00F17EE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B5C673"/>
  <w14:defaultImageDpi w14:val="300"/>
  <w15:docId w15:val="{EF1EF28C-5A84-4145-A746-BB9CA7B16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5733C"/>
    <w:rPr>
      <w:color w:val="0000FF" w:themeColor="hyperlink"/>
      <w:u w:val="single"/>
    </w:rPr>
  </w:style>
  <w:style w:type="character" w:styleId="UnresolvedMention">
    <w:name w:val="Unresolved Mention"/>
    <w:basedOn w:val="DefaultParagraphFont"/>
    <w:uiPriority w:val="99"/>
    <w:semiHidden/>
    <w:unhideWhenUsed/>
    <w:rsid w:val="00057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fsa@afsafrica.org" TargetMode="External"/><Relationship Id="rId4" Type="http://schemas.openxmlformats.org/officeDocument/2006/relationships/settings" Target="settings.xml"/><Relationship Id="rId9" Type="http://schemas.openxmlformats.org/officeDocument/2006/relationships/hyperlink" Target="mailto:afsa@afsafric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4023</Words>
  <Characters>22933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Terms of Reference - Financial Services and Income-Enhancing Opportunities Study</vt:lpstr>
    </vt:vector>
  </TitlesOfParts>
  <Manager/>
  <Company/>
  <LinksUpToDate>false</LinksUpToDate>
  <CharactersWithSpaces>26903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Financial Services and Income-Enhancing Opportunities Study</dc:title>
  <dc:subject>Six-country study covering Uganda, Tanzania, Zimbabwe, Zambia, Senegal and Togo</dc:subject>
  <dc:creator>Alliance for Food Sovereignty in Africa (AFSA)</dc:creator>
  <cp:keywords>AFSA, agroecological enterprises, financial services, terms of reference</cp:keywords>
  <dc:description>generated by python-docx</dc:description>
  <cp:lastModifiedBy>Ruth Nabaggala</cp:lastModifiedBy>
  <cp:revision>2</cp:revision>
  <dcterms:created xsi:type="dcterms:W3CDTF">2026-08-18T09:45:00Z</dcterms:created>
  <dcterms:modified xsi:type="dcterms:W3CDTF">2026-08-18T09:45:00Z</dcterms:modified>
  <cp:category/>
</cp:coreProperties>
</file>