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733C" w:rsidRDefault="00875FD9" w14:paraId="0F7C9F75" w14:textId="77777777">
      <w:pPr>
        <w:spacing w:before="160" w:after="120"/>
        <w:jc w:val="center"/>
        <w:rPr>
          <w:b/>
          <w:color w:val="1F4E79"/>
          <w:sz w:val="32"/>
        </w:rPr>
      </w:pPr>
      <w:r w:rsidRPr="00136241">
        <w:rPr>
          <w:rFonts w:ascii="Calibri Light" w:hAnsi="Calibri Light" w:cs="Calibri Light"/>
          <w:noProof/>
          <w:sz w:val="22"/>
        </w:rPr>
        <w:drawing>
          <wp:anchor distT="0" distB="0" distL="114300" distR="114300" simplePos="0" relativeHeight="251659264" behindDoc="0" locked="0" layoutInCell="1" allowOverlap="1" wp14:editId="75851836" wp14:anchorId="09E86A31">
            <wp:simplePos x="0" y="0"/>
            <wp:positionH relativeFrom="margin">
              <wp:posOffset>1899081</wp:posOffset>
            </wp:positionH>
            <wp:positionV relativeFrom="paragraph">
              <wp:posOffset>-2049</wp:posOffset>
            </wp:positionV>
            <wp:extent cx="2343150" cy="739775"/>
            <wp:effectExtent l="0" t="0" r="0" b="3175"/>
            <wp:wrapSquare wrapText="bothSides"/>
            <wp:docPr id="328956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956325" name="Picture 32895632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3150" cy="739775"/>
                    </a:xfrm>
                    <a:prstGeom prst="rect">
                      <a:avLst/>
                    </a:prstGeom>
                  </pic:spPr>
                </pic:pic>
              </a:graphicData>
            </a:graphic>
            <wp14:sizeRelH relativeFrom="page">
              <wp14:pctWidth>0</wp14:pctWidth>
            </wp14:sizeRelH>
            <wp14:sizeRelV relativeFrom="page">
              <wp14:pctHeight>0</wp14:pctHeight>
            </wp14:sizeRelV>
          </wp:anchor>
        </w:drawing>
      </w:r>
    </w:p>
    <w:p w:rsidR="00875FD9" w:rsidRDefault="00875FD9" w14:paraId="3AFDF23E" w14:textId="77777777">
      <w:pPr>
        <w:spacing w:before="160" w:after="120"/>
        <w:jc w:val="center"/>
        <w:rPr>
          <w:b/>
          <w:color w:val="981C4F"/>
          <w:sz w:val="32"/>
        </w:rPr>
      </w:pPr>
    </w:p>
    <w:p w:rsidR="00875FD9" w:rsidRDefault="00875FD9" w14:paraId="3B430AD7" w14:textId="77777777">
      <w:pPr>
        <w:spacing w:before="160" w:after="120"/>
        <w:jc w:val="center"/>
        <w:rPr>
          <w:b/>
          <w:color w:val="981C4F"/>
          <w:sz w:val="32"/>
        </w:rPr>
      </w:pPr>
    </w:p>
    <w:p w:rsidRPr="00C3218E" w:rsidR="00F17EEF" w:rsidRDefault="00000000" w14:paraId="1603BD8A" w14:textId="77777777">
      <w:pPr>
        <w:spacing w:before="160" w:after="120"/>
        <w:jc w:val="center"/>
        <w:rPr>
          <w:rFonts w:ascii="Calibri Light" w:hAnsi="Calibri Light" w:cs="Calibri Light"/>
          <w:color w:val="981C4F"/>
        </w:rPr>
      </w:pPr>
      <w:r w:rsidRPr="00C3218E">
        <w:rPr>
          <w:rFonts w:ascii="Calibri Light" w:hAnsi="Calibri Light" w:cs="Calibri Light"/>
          <w:b/>
          <w:color w:val="981C4F"/>
          <w:sz w:val="32"/>
        </w:rPr>
        <w:t xml:space="preserve">APPEL À MANIFESTATION D'INTÉRÊT (AMI)</w:t>
      </w:r>
    </w:p>
    <w:p w:rsidRPr="00C3218E" w:rsidR="00F17EEF" w:rsidRDefault="00000000" w14:paraId="288B0C09" w14:textId="77777777">
      <w:pPr>
        <w:spacing w:after="80"/>
        <w:jc w:val="center"/>
        <w:rPr>
          <w:rFonts w:ascii="Calibri Light" w:hAnsi="Calibri Light" w:cs="Calibri Light"/>
        </w:rPr>
      </w:pPr>
      <w:r w:rsidRPr="00C3218E">
        <w:rPr>
          <w:rFonts w:ascii="Calibri Light" w:hAnsi="Calibri Light" w:cs="Calibri Light"/>
          <w:b/>
          <w:sz w:val="26"/>
        </w:rPr>
        <w:t xml:space="preserve">EN VUE DE LA RÉALISATION D’UNE ÉTUDE DANS SIX PAYS SUR LES SERVICES FINANCIERS ET</w:t>
      </w:r>
      <w:r w:rsidRPr="00C3218E">
        <w:rPr>
          <w:rFonts w:ascii="Calibri Light" w:hAnsi="Calibri Light" w:cs="Calibri Light"/>
          <w:b/>
          <w:sz w:val="26"/>
        </w:rPr>
        <w:br/>
      </w:r>
      <w:r w:rsidRPr="00C3218E">
        <w:rPr>
          <w:rFonts w:ascii="Calibri Light" w:hAnsi="Calibri Light" w:cs="Calibri Light"/>
          <w:b/>
          <w:sz w:val="26"/>
        </w:rPr>
        <w:t xml:space="preserve">LES OPPORTUNITÉS D'AUGMENTATION DES REVENUS POUR </w:t>
      </w:r>
      <w:r w:rsidRPr="00C3218E">
        <w:rPr>
          <w:rFonts w:ascii="Calibri Light" w:hAnsi="Calibri Light" w:cs="Calibri Light"/>
          <w:b/>
          <w:sz w:val="26"/>
        </w:rPr>
        <w:t xml:space="preserve">LES ENTREPRISES AGROÉCOLOGIQUES</w:t>
      </w:r>
      <w:r w:rsidRPr="00C3218E" w:rsidR="0005733C">
        <w:rPr>
          <w:rFonts w:ascii="Calibri Light" w:hAnsi="Calibri Light" w:cs="Calibri Light"/>
          <w:b/>
          <w:sz w:val="26"/>
        </w:rPr>
        <w:t xml:space="preserve"> AFRICAINES </w:t>
      </w:r>
      <w:r w:rsidRPr="00C3218E" w:rsidR="0005733C">
        <w:rPr>
          <w:rFonts w:ascii="Calibri Light" w:hAnsi="Calibri Light" w:cs="Calibri Light"/>
          <w:b/>
          <w:sz w:val="26"/>
        </w:rPr>
        <w:t xml:space="preserve">(AAE)</w:t>
      </w:r>
    </w:p>
    <w:p w:rsidR="00F17EEF" w:rsidRDefault="00000000" w14:paraId="795971E2" w14:textId="77777777">
      <w:pPr>
        <w:spacing w:after="240"/>
        <w:jc w:val="center"/>
      </w:pPr>
      <w:r>
        <w:rPr>
          <w:b/>
          <w:color w:val="666666"/>
        </w:rPr>
        <w:t xml:space="preserve">Ouganda | Tanzanie | Zimbabwe | Zambie | Sénégal | Togo</w:t>
      </w:r>
    </w:p>
    <w:p w:rsidR="00F17EEF" w:rsidRDefault="00F17EEF" w14:paraId="7772E947" w14:textId="77777777">
      <w:pPr>
        <w:pStyle w:val="Heading2"/>
      </w:pPr>
    </w:p>
    <w:p w:rsidRPr="00C3218E" w:rsidR="00F17EEF" w:rsidP="0005733C" w:rsidRDefault="00000000" w14:paraId="0E6C4481" w14:textId="77777777">
      <w:pPr>
        <w:keepLines/>
        <w:jc w:val="both"/>
        <w:rPr>
          <w:rFonts w:ascii="Calibri Light" w:hAnsi="Calibri Light" w:cs="Calibri Light"/>
          <w:sz w:val="22"/>
        </w:rPr>
      </w:pPr>
      <w:r w:rsidRPr="00C3218E">
        <w:rPr>
          <w:rFonts w:ascii="Calibri Light" w:hAnsi="Calibri Light" w:cs="Calibri Light"/>
          <w:sz w:val="22"/>
        </w:rPr>
        <w:t xml:space="preserve">L’Alliance pour la souveraineté alimentaire en Afrique (AFSA) a l’intention de confier à un consultant la mission de recenser les services financiers et les opportunités d’augmentation des revenus accessibles aux entreprises agroécologiques africaines (AAE) en Ouganda, en Tanzanie, au Zimbabwe, en Zambie, au Sénégal et au Togo. L’étude permettra d’identifier et de dresser le profil des prestataires concernés, d’évaluer dans quelle mesure leurs services sont accessibles et adaptés aux AAE, et de recommander des modèles de services concrets, des partenariats et des mécanismes d’orientation qui répondent aux réalités des entreprises.</w:t>
      </w:r>
    </w:p>
    <w:p w:rsidRPr="00C3218E" w:rsidR="00F17EEF" w:rsidRDefault="00000000" w14:paraId="6A8CB824" w14:textId="77777777">
      <w:pPr>
        <w:keepLines/>
        <w:rPr>
          <w:rFonts w:ascii="Calibri Light" w:hAnsi="Calibri Light" w:cs="Calibri Light"/>
          <w:sz w:val="22"/>
        </w:rPr>
      </w:pPr>
      <w:r w:rsidRPr="00C3218E">
        <w:rPr>
          <w:rFonts w:ascii="Calibri Light" w:hAnsi="Calibri Light" w:cs="Calibri Light"/>
          <w:sz w:val="22"/>
        </w:rPr>
        <w:t xml:space="preserve">L’AFSA invite les consultants individuels ou les cabinets de conseil éligibles à soumettre des propositions techniques et financières pour cette mission. La candidature doit inclure :</w:t>
      </w:r>
    </w:p>
    <w:p w:rsidRPr="00C3218E" w:rsidR="00F17EEF" w:rsidRDefault="00000000" w14:paraId="33812E85" w14:textId="77777777">
      <w:pPr>
        <w:pStyle w:val="ListBullet"/>
        <w:keepLines/>
        <w:spacing w:after="60" w:line="252" w:lineRule="auto"/>
        <w:rPr>
          <w:rFonts w:ascii="Calibri Light" w:hAnsi="Calibri Light" w:cs="Calibri Light"/>
          <w:sz w:val="22"/>
        </w:rPr>
      </w:pPr>
      <w:r w:rsidRPr="00C3218E">
        <w:rPr>
          <w:rFonts w:ascii="Calibri Light" w:hAnsi="Calibri Light" w:cs="Calibri Light"/>
          <w:sz w:val="22"/>
        </w:rPr>
        <w:t xml:space="preserve">Une lettre d’offre signée.</w:t>
      </w:r>
    </w:p>
    <w:p w:rsidRPr="00C3218E" w:rsidR="00F17EEF" w:rsidRDefault="00000000" w14:paraId="7DE27E4D" w14:textId="77777777">
      <w:pPr>
        <w:pStyle w:val="ListBullet"/>
        <w:keepLines/>
        <w:spacing w:after="60" w:line="252" w:lineRule="auto"/>
        <w:rPr>
          <w:rFonts w:ascii="Calibri Light" w:hAnsi="Calibri Light" w:cs="Calibri Light"/>
          <w:sz w:val="22"/>
        </w:rPr>
      </w:pPr>
      <w:r w:rsidRPr="00C3218E">
        <w:rPr>
          <w:rFonts w:ascii="Calibri Light" w:hAnsi="Calibri Light" w:cs="Calibri Light"/>
          <w:sz w:val="22"/>
        </w:rPr>
        <w:t xml:space="preserve">Une proposition technique ne dépassant pas six pages, annexes non comprises, démontrant la compréhension de la mission par le candidat, la méthodologie proposée, l’approche d’échantillonnage, le plan de travail, l’organisation de l’équipe et les dispositions en matière d’assurance qualité.</w:t>
      </w:r>
    </w:p>
    <w:p w:rsidRPr="00C3218E" w:rsidR="00F17EEF" w:rsidRDefault="00000000" w14:paraId="751455F1" w14:textId="77777777">
      <w:pPr>
        <w:pStyle w:val="ListBullet"/>
        <w:keepLines/>
        <w:spacing w:after="60" w:line="252" w:lineRule="auto"/>
        <w:rPr>
          <w:rFonts w:ascii="Calibri Light" w:hAnsi="Calibri Light" w:cs="Calibri Light"/>
          <w:sz w:val="22"/>
        </w:rPr>
      </w:pPr>
      <w:r w:rsidRPr="00C3218E">
        <w:rPr>
          <w:rFonts w:ascii="Calibri Light" w:hAnsi="Calibri Light" w:cs="Calibri Light"/>
          <w:sz w:val="22"/>
        </w:rPr>
        <w:t xml:space="preserve">Un profil du consultant ou du cabinet, ainsi que des justificatifs d’une expérience pertinente dans les domaines de la finance inclusive, du financement agricole ou des entreprises, de l’agroécologie, des systèmes alimentaires et de la recherche multipays.</w:t>
      </w:r>
    </w:p>
    <w:p w:rsidRPr="00C3218E" w:rsidR="00F17EEF" w:rsidRDefault="00000000" w14:paraId="2831F610" w14:textId="77777777">
      <w:pPr>
        <w:pStyle w:val="ListBullet"/>
        <w:keepLines/>
        <w:spacing w:after="60" w:line="252" w:lineRule="auto"/>
        <w:rPr>
          <w:rFonts w:ascii="Calibri Light" w:hAnsi="Calibri Light" w:cs="Calibri Light"/>
          <w:sz w:val="22"/>
        </w:rPr>
      </w:pPr>
      <w:r w:rsidRPr="00C3218E">
        <w:rPr>
          <w:rFonts w:ascii="Calibri Light" w:hAnsi="Calibri Light" w:cs="Calibri Light"/>
          <w:sz w:val="22"/>
        </w:rPr>
        <w:t xml:space="preserve">Au moins deux exemples de missions comparables, que l’AFSA traitera de manière confidentielle.</w:t>
      </w:r>
    </w:p>
    <w:p w:rsidRPr="00C3218E" w:rsidR="00F17EEF" w:rsidRDefault="00000000" w14:paraId="1FB992DD" w14:textId="77777777">
      <w:pPr>
        <w:pStyle w:val="ListBullet"/>
        <w:keepLines/>
        <w:spacing w:after="60" w:line="252" w:lineRule="auto"/>
        <w:rPr>
          <w:rFonts w:ascii="Calibri Light" w:hAnsi="Calibri Light" w:cs="Calibri Light"/>
          <w:sz w:val="22"/>
        </w:rPr>
      </w:pPr>
      <w:r w:rsidRPr="00C3218E">
        <w:rPr>
          <w:rFonts w:ascii="Calibri Light" w:hAnsi="Calibri Light" w:cs="Calibri Light"/>
          <w:sz w:val="22"/>
        </w:rPr>
        <w:t xml:space="preserve">Les curriculum vitae des membres de l’équipe proposée, indiquant clairement leurs rôles et leur expérience pertinente.</w:t>
      </w:r>
    </w:p>
    <w:p w:rsidRPr="00C3218E" w:rsidR="00F17EEF" w:rsidP="0005733C" w:rsidRDefault="00000000" w14:paraId="2D43F3F7" w14:textId="77777777">
      <w:pPr>
        <w:pStyle w:val="ListBullet"/>
        <w:keepLines/>
        <w:spacing w:after="60" w:line="252" w:lineRule="auto"/>
        <w:rPr>
          <w:rFonts w:ascii="Calibri Light" w:hAnsi="Calibri Light" w:cs="Calibri Light"/>
          <w:sz w:val="22"/>
        </w:rPr>
      </w:pPr>
      <w:r w:rsidRPr="00C3218E">
        <w:rPr>
          <w:rFonts w:ascii="Calibri Light" w:hAnsi="Calibri Light" w:cs="Calibri Light"/>
          <w:sz w:val="22"/>
        </w:rPr>
        <w:t xml:space="preserve">Une proposition financière libellée en dollars américains, indiquant les honoraires professionnels, les coûts au niveau national, les frais de déplacement, de traduction, de validation, les taxes et toutes les dépenses remboursables.</w:t>
      </w:r>
    </w:p>
    <w:p w:rsidRPr="00C3218E" w:rsidR="00F17EEF" w:rsidP="0005733C" w:rsidRDefault="00000000" w14:paraId="22F30FBE" w14:textId="005C30EB">
      <w:pPr>
        <w:keepLines/>
        <w:jc w:val="both"/>
        <w:rPr>
          <w:rFonts w:ascii="Calibri Light" w:hAnsi="Calibri Light" w:cs="Calibri Light"/>
          <w:sz w:val="22"/>
        </w:rPr>
      </w:pPr>
      <w:r w:rsidRPr="00C3218E">
        <w:rPr>
          <w:rFonts w:ascii="Calibri Light" w:hAnsi="Calibri Light" w:cs="Calibri Light"/>
          <w:sz w:val="22"/>
        </w:rPr>
        <w:t xml:space="preserve">Les propositions techniques et financières doivent être envoyées par e-mail à </w:t>
      </w:r>
      <w:r w:rsidR="00C3218E">
        <w:rPr>
          <w:rFonts w:ascii="Calibri Light" w:hAnsi="Calibri Light" w:cs="Calibri Light"/>
          <w:sz w:val="22"/>
        </w:rPr>
        <w:t xml:space="preserve">l’adresse</w:t>
      </w:r>
      <w:hyperlink w:history="1" r:id="rId9">
        <w:r w:rsidRPr="003B2625" w:rsidR="00C3218E">
          <w:rPr>
            <w:rStyle w:val="Hyperlink"/>
            <w:rFonts w:ascii="Calibri Light" w:hAnsi="Calibri Light" w:cs="Calibri Light"/>
            <w:sz w:val="22"/>
          </w:rPr>
          <w:t>afsa@afsafrica.org</w:t>
        </w:r>
      </w:hyperlink>
      <w:r w:rsidR="00C3218E">
        <w:rPr>
          <w:rFonts w:ascii="Calibri Light" w:hAnsi="Calibri Light" w:cs="Calibri Light"/>
          <w:sz w:val="22"/>
        </w:rPr>
        <w:t xml:space="preserve"> </w:t>
      </w:r>
      <w:r w:rsidRPr="00C3218E">
        <w:rPr>
          <w:rFonts w:ascii="Calibri Light" w:hAnsi="Calibri Light" w:cs="Calibri Light"/>
          <w:sz w:val="22"/>
        </w:rPr>
        <w:t xml:space="preserve">. L’objet de l’e-mail doit être libellé </w:t>
      </w:r>
      <w:r w:rsidRPr="00C3218E">
        <w:rPr>
          <w:rFonts w:ascii="Calibri Light" w:hAnsi="Calibri Light" w:cs="Calibri Light"/>
          <w:b/>
          <w:bCs/>
          <w:i/>
          <w:iCs/>
          <w:sz w:val="22"/>
        </w:rPr>
        <w:t xml:space="preserve">comme suit : « AFSA – Étude sur les services financiers et les opportunités d’amélioration des revenus ». La date limite de soumission est fixée au 28 août 2026 à 17 h 00, heure d’Afrique de l’Est</w:t>
      </w:r>
      <w:r w:rsidRPr="00C3218E">
        <w:rPr>
          <w:rFonts w:ascii="Calibri Light" w:hAnsi="Calibri Light" w:cs="Calibri Light"/>
          <w:sz w:val="22"/>
        </w:rPr>
        <w:t xml:space="preserve">. Seuls les candidats présélectionnés seront contactés.</w:t>
      </w:r>
    </w:p>
    <w:p w:rsidRPr="00C3218E" w:rsidR="00F17EEF" w:rsidRDefault="00000000" w14:paraId="61AFAAA9" w14:textId="77777777">
      <w:pPr>
        <w:keepLines/>
        <w:spacing w:after="200"/>
        <w:rPr>
          <w:rFonts w:ascii="Calibri Light" w:hAnsi="Calibri Light" w:cs="Calibri Light"/>
          <w:sz w:val="22"/>
        </w:rPr>
      </w:pPr>
      <w:r w:rsidRPr="00C3218E">
        <w:rPr>
          <w:rFonts w:ascii="Calibri Light" w:hAnsi="Calibri Light" w:cs="Calibri Light"/>
          <w:i/>
          <w:sz w:val="22"/>
        </w:rPr>
        <w:t xml:space="preserve">Le cahier des charges détaillé est fourni ci-dessous.</w:t>
      </w:r>
    </w:p>
    <w:p w:rsidRPr="00C3218E" w:rsidR="00F17EEF" w:rsidRDefault="00000000" w14:paraId="2B330FE7" w14:textId="77777777">
      <w:pPr>
        <w:rPr>
          <w:rFonts w:ascii="Calibri Light" w:hAnsi="Calibri Light" w:cs="Calibri Light"/>
          <w:sz w:val="22"/>
        </w:rPr>
      </w:pPr>
      <w:r w:rsidRPr="00C3218E">
        <w:rPr>
          <w:rFonts w:ascii="Calibri Light" w:hAnsi="Calibri Light" w:cs="Calibri Light"/>
          <w:sz w:val="22"/>
        </w:rPr>
        <w:br w:type="page"/>
      </w:r>
    </w:p>
    <w:p w:rsidRPr="0005733C" w:rsidR="00F17EEF" w:rsidP="0005733C" w:rsidRDefault="00000000" w14:paraId="60F5EA15" w14:textId="77777777">
      <w:pPr>
        <w:spacing w:before="160" w:after="120"/>
        <w:jc w:val="center"/>
        <w:rPr>
          <w:b/>
          <w:color w:val="981C4F"/>
          <w:sz w:val="32"/>
        </w:rPr>
      </w:pPr>
      <w:r w:rsidRPr="0005733C">
        <w:rPr>
          <w:b/>
          <w:color w:val="981C4F"/>
          <w:sz w:val="32"/>
        </w:rPr>
        <w:lastRenderedPageBreak/>
      </w:r>
      <w:r w:rsidRPr="0005733C">
        <w:rPr>
          <w:b/>
          <w:color w:val="981C4F"/>
          <w:sz w:val="32"/>
        </w:rPr>
        <w:t xml:space="preserve">CAHIER DES CHARGES</w:t>
      </w:r>
    </w:p>
    <w:p w:rsidRPr="0005733C" w:rsidR="00F17EEF" w:rsidRDefault="00000000" w14:paraId="55220750" w14:textId="77777777">
      <w:pPr>
        <w:spacing w:after="280"/>
        <w:jc w:val="center"/>
        <w:rPr>
          <w:rFonts w:ascii="Calibri Light" w:hAnsi="Calibri Light" w:cs="Calibri Light"/>
          <w:sz w:val="22"/>
        </w:rPr>
      </w:pPr>
      <w:r w:rsidRPr="0005733C">
        <w:rPr>
          <w:rFonts w:ascii="Calibri Light" w:hAnsi="Calibri Light" w:cs="Calibri Light"/>
          <w:b/>
          <w:sz w:val="22"/>
        </w:rPr>
        <w:t xml:space="preserve">RECENSEMENT DES SERVICES FINANCIERS ET DES OPPORTUNITÉS D’AUGMENTATION DES REVENUS</w:t>
      </w:r>
      <w:r w:rsidRPr="0005733C">
        <w:rPr>
          <w:rFonts w:ascii="Calibri Light" w:hAnsi="Calibri Light" w:cs="Calibri Light"/>
          <w:b/>
          <w:sz w:val="22"/>
        </w:rPr>
        <w:br/>
      </w:r>
      <w:r w:rsidRPr="0005733C">
        <w:rPr>
          <w:rFonts w:ascii="Calibri Light" w:hAnsi="Calibri Light" w:cs="Calibri Light"/>
          <w:b/>
          <w:sz w:val="22"/>
        </w:rPr>
        <w:t xml:space="preserve">POUR LES ENTREPRISES AGROÉCOLOGIQUES</w:t>
      </w:r>
    </w:p>
    <w:p w:rsidRPr="00136241" w:rsidR="00EB503F" w:rsidP="00EB503F" w:rsidRDefault="00EB503F" w14:paraId="157F602E" w14:textId="77777777">
      <w:pPr>
        <w:pStyle w:val="Heading1"/>
        <w:rPr>
          <w:rFonts w:ascii="Calibri Light" w:hAnsi="Calibri Light" w:cs="Calibri Light"/>
          <w:sz w:val="22"/>
        </w:rPr>
      </w:pPr>
      <w:r>
        <w:t xml:space="preserve">1. Définitions opérationnelles</w:t>
      </w:r>
    </w:p>
    <w:tbl>
      <w:tblPr>
        <w:tblW w:w="9576" w:type="dxa"/>
        <w:jc w:val="center"/>
        <w:shd w:val="clear" w:color="auto" w:fill="981C4F"/>
        <w:tblLayout w:type="fixed"/>
        <w:tblLook w:val="04a0"/>
      </w:tblPr>
      <w:tblGrid>
        <w:gridCol w:w="9576"/>
      </w:tblGrid>
      <w:tr w:rsidRPr="00136241" w:rsidR="00EB503F" w:rsidTr="00EB503F" w14:paraId="7FB06872" w14:textId="77777777">
        <w:trPr>
          <w:cantSplit/>
          <w:jc w:val="center"/>
        </w:trPr>
        <w:tc>
          <w:tcPr>
            <w:tcW w:w="9576" w:type="dxa"/>
            <w:shd w:val="clear" w:color="auto" w:fill="981C4F"/>
            <w:tcMar>
              <w:top w:w="130" w:type="dxa"/>
              <w:left w:w="160" w:type="dxa"/>
              <w:bottom w:w="130" w:type="dxa"/>
              <w:right w:w="160" w:type="dxa"/>
            </w:tcMar>
          </w:tcPr>
          <w:p w:rsidRPr="00EB503F" w:rsidR="00EB503F" w:rsidP="00E26747" w:rsidRDefault="00EB503F" w14:paraId="52998F90" w14:textId="77777777">
            <w:pPr>
              <w:spacing w:after="60"/>
              <w:rPr>
                <w:rFonts w:ascii="Calibri Light" w:hAnsi="Calibri Light" w:cs="Calibri Light"/>
                <w:color w:val="FFFFFF" w:themeColor="background1"/>
                <w:sz w:val="22"/>
              </w:rPr>
            </w:pPr>
            <w:r w:rsidRPr="00EB503F">
              <w:rPr>
                <w:rFonts w:ascii="Calibri Light" w:hAnsi="Calibri Light" w:cs="Calibri Light"/>
                <w:b/>
                <w:color w:val="FFFFFF" w:themeColor="background1"/>
                <w:sz w:val="22"/>
              </w:rPr>
              <w:t xml:space="preserve">Services financiers</w:t>
            </w:r>
          </w:p>
          <w:p w:rsidRPr="00136241" w:rsidR="00EB503F" w:rsidP="00E26747" w:rsidRDefault="00EB503F" w14:paraId="682572C2" w14:textId="77777777">
            <w:pPr>
              <w:spacing w:after="0" w:line="264" w:lineRule="auto"/>
              <w:jc w:val="both"/>
              <w:rPr>
                <w:rFonts w:ascii="Calibri Light" w:hAnsi="Calibri Light" w:cs="Calibri Light"/>
                <w:sz w:val="22"/>
              </w:rPr>
            </w:pPr>
            <w:r w:rsidRPr="00EB503F">
              <w:rPr>
                <w:rFonts w:ascii="Calibri Light" w:hAnsi="Calibri Light" w:cs="Calibri Light"/>
                <w:color w:val="FFFFFF" w:themeColor="background1"/>
                <w:sz w:val="22"/>
              </w:rPr>
              <w:t xml:space="preserve">Dans le cadre de cette étude, les services financiers ne se limitent pas au capital. Ils englobent les services et les opportunités qui aident les entreprises à mobiliser des fonds, à gérer les risques et la trésorerie, à réduire les coûts de transaction, à accéder aux marchés, à améliorer leur productivité et à augmenter ou stabiliser leurs revenus.</w:t>
            </w:r>
          </w:p>
        </w:tc>
      </w:tr>
    </w:tbl>
    <w:p w:rsidRPr="00136241" w:rsidR="00EB503F" w:rsidP="00EB503F" w:rsidRDefault="00EB503F" w14:paraId="2DA3D3CD" w14:textId="77777777">
      <w:pPr>
        <w:spacing w:after="0"/>
        <w:rPr>
          <w:rFonts w:ascii="Calibri Light" w:hAnsi="Calibri Light" w:cs="Calibri Light"/>
          <w:sz w:val="22"/>
        </w:rPr>
      </w:pPr>
    </w:p>
    <w:tbl>
      <w:tblPr>
        <w:tblW w:w="9576" w:type="dxa"/>
        <w:jc w:val="center"/>
        <w:shd w:val="clear" w:color="auto" w:fill="981C4F"/>
        <w:tblLayout w:type="fixed"/>
        <w:tblLook w:val="04a0"/>
      </w:tblPr>
      <w:tblGrid>
        <w:gridCol w:w="9576"/>
      </w:tblGrid>
      <w:tr w:rsidRPr="00136241" w:rsidR="00EB503F" w:rsidTr="00EB503F" w14:paraId="20B0F521" w14:textId="77777777">
        <w:trPr>
          <w:cantSplit/>
          <w:jc w:val="center"/>
        </w:trPr>
        <w:tc>
          <w:tcPr>
            <w:tcW w:w="9576" w:type="dxa"/>
            <w:shd w:val="clear" w:color="auto" w:fill="981C4F"/>
            <w:tcMar>
              <w:top w:w="130" w:type="dxa"/>
              <w:left w:w="160" w:type="dxa"/>
              <w:bottom w:w="130" w:type="dxa"/>
              <w:right w:w="160" w:type="dxa"/>
            </w:tcMar>
          </w:tcPr>
          <w:p w:rsidRPr="00EB503F" w:rsidR="00EB503F" w:rsidP="00E26747" w:rsidRDefault="00EB503F" w14:paraId="01013904" w14:textId="77777777">
            <w:pPr>
              <w:spacing w:after="60"/>
              <w:rPr>
                <w:rFonts w:ascii="Calibri Light" w:hAnsi="Calibri Light" w:cs="Calibri Light"/>
                <w:color w:val="FFFFFF" w:themeColor="background1"/>
                <w:sz w:val="22"/>
              </w:rPr>
            </w:pPr>
            <w:r w:rsidRPr="00EB503F">
              <w:rPr>
                <w:rFonts w:ascii="Calibri Light" w:hAnsi="Calibri Light" w:cs="Calibri Light"/>
                <w:b/>
                <w:color w:val="FFFFFF" w:themeColor="background1"/>
                <w:sz w:val="22"/>
              </w:rPr>
              <w:t xml:space="preserve">Entreprise agroécologique</w:t>
            </w:r>
          </w:p>
          <w:p w:rsidRPr="00136241" w:rsidR="00EB503F" w:rsidP="00E26747" w:rsidRDefault="00EB503F" w14:paraId="26F50441" w14:textId="77777777">
            <w:pPr>
              <w:spacing w:after="0" w:line="264" w:lineRule="auto"/>
              <w:jc w:val="both"/>
              <w:rPr>
                <w:rFonts w:ascii="Calibri Light" w:hAnsi="Calibri Light" w:cs="Calibri Light"/>
                <w:sz w:val="22"/>
              </w:rPr>
            </w:pPr>
            <w:r w:rsidRPr="00EB503F">
              <w:rPr>
                <w:rFonts w:ascii="Calibri Light" w:hAnsi="Calibri Light" w:cs="Calibri Light"/>
                <w:color w:val="FFFFFF" w:themeColor="background1"/>
                <w:sz w:val="22"/>
              </w:rPr>
              <w:t xml:space="preserve">Une entreprise agroécologique (EAE) est une entreprise à vocation commerciale opérant dans une ou plusieurs chaînes de valeur agroalimentaires, dont le modèle économique, la stratégie, les activités et les produits ou services s’alignent sur les principes de l’agroécologie. Elle contribue à des systèmes alimentaires qui régénèrent les écosystèmes, favorisent la santé et le bien-être des êtres humains et des animaux, garantissent l’équité, l’inclusion et le respect des droits des communautés, et renforcent la résilience et la création de richesse dans les économies locales.</w:t>
            </w:r>
          </w:p>
        </w:tc>
      </w:tr>
    </w:tbl>
    <w:p w:rsidRPr="00C3218E" w:rsidR="00EB503F" w:rsidP="0005733C" w:rsidRDefault="00EB503F" w14:paraId="3FB8A4DA" w14:textId="77777777">
      <w:pPr>
        <w:keepLines/>
        <w:jc w:val="both"/>
        <w:rPr>
          <w:rFonts w:ascii="Calibri Light" w:hAnsi="Calibri Light" w:cs="Calibri Light"/>
          <w:sz w:val="22"/>
        </w:rPr>
      </w:pPr>
    </w:p>
    <w:p w:rsidRPr="00C3218E" w:rsidR="00323B58" w:rsidP="0005733C" w:rsidRDefault="00323B58" w14:paraId="299927AF" w14:textId="77777777">
      <w:pPr>
        <w:pStyle w:val="Heading1"/>
        <w:jc w:val="both"/>
        <w:rPr>
          <w:rFonts w:ascii="Calibri Light" w:hAnsi="Calibri Light" w:cs="Calibri Light"/>
          <w:sz w:val="22"/>
          <w:szCs w:val="22"/>
        </w:rPr>
      </w:pPr>
      <w:r w:rsidRPr="00C3218E">
        <w:rPr>
          <w:rFonts w:ascii="Calibri Light" w:hAnsi="Calibri Light" w:cs="Calibri Light"/>
          <w:sz w:val="22"/>
          <w:szCs w:val="22"/>
        </w:rPr>
        <w:t xml:space="preserve">2. Contexte</w:t>
      </w:r>
    </w:p>
    <w:p w:rsidRPr="00C3218E" w:rsidR="00F17EEF" w:rsidP="0005733C" w:rsidRDefault="00000000" w14:paraId="739436B1" w14:textId="77777777">
      <w:pPr>
        <w:keepLines/>
        <w:jc w:val="both"/>
        <w:rPr>
          <w:rFonts w:ascii="Calibri Light" w:hAnsi="Calibri Light" w:cs="Calibri Light"/>
          <w:sz w:val="22"/>
        </w:rPr>
      </w:pPr>
      <w:r w:rsidRPr="00C3218E">
        <w:rPr>
          <w:rFonts w:ascii="Calibri Light" w:hAnsi="Calibri Light" w:cs="Calibri Light"/>
          <w:sz w:val="22"/>
        </w:rPr>
        <w:t xml:space="preserve">L’Alliance pour la souveraineté alimentaire en Afrique (AFSA), créée en 2011, est une vaste alliance d’acteurs de la société civile œuvrant en faveur de la souveraineté alimentaire et de l’agroécologie à travers l’Afrique. Elle compte parmi ses membres des réseaux de producteurs alimentaires, des réseaux de la société civile, des organisations de peuples autochtones, des groupes confessionnels, des organisations de femmes et de jeunes, des mouvements de consommateurs et des organisations internationales qui soutiennent la mission de l’AFSA.</w:t>
      </w:r>
    </w:p>
    <w:p w:rsidRPr="00C3218E" w:rsidR="00F17EEF" w:rsidP="0005733C" w:rsidRDefault="00000000" w14:paraId="18032781" w14:textId="77777777">
      <w:pPr>
        <w:keepLines/>
        <w:jc w:val="both"/>
        <w:rPr>
          <w:rFonts w:ascii="Calibri Light" w:hAnsi="Calibri Light" w:cs="Calibri Light"/>
          <w:sz w:val="22"/>
        </w:rPr>
      </w:pPr>
      <w:r w:rsidRPr="00C3218E">
        <w:rPr>
          <w:rFonts w:ascii="Calibri Light" w:hAnsi="Calibri Light" w:cs="Calibri Light"/>
          <w:sz w:val="22"/>
        </w:rPr>
        <w:t xml:space="preserve">L’AFSA a contribué à renforcer le mouvement de l’entrepreneuriat agroécologique africain et des marchés territoriaux en mettant en avant des entreprises et des marchés, en soutenant des plateformes nationales, en renforçant les capacités des entreprises et en facilitant les liens avec les acheteurs, les investisseurs, les institutions financières et les décideurs politiques. Cette mission de conseil permettra de générer des données concrètes afin d’améliorer ces liens et d’orienter les services de manière à mieux répondre aux besoins de l’entrepreneuriat agroécologique africain.</w:t>
      </w:r>
    </w:p>
    <w:p w:rsidRPr="00C3218E" w:rsidR="00F17EEF" w:rsidP="0005733C" w:rsidRDefault="00000000" w14:paraId="4C0F3570" w14:textId="77777777">
      <w:pPr>
        <w:keepLines/>
        <w:jc w:val="both"/>
        <w:rPr>
          <w:rFonts w:ascii="Calibri Light" w:hAnsi="Calibri Light" w:cs="Calibri Light"/>
          <w:sz w:val="22"/>
        </w:rPr>
      </w:pPr>
      <w:r w:rsidRPr="00C3218E">
        <w:rPr>
          <w:rFonts w:ascii="Calibri Light" w:hAnsi="Calibri Light" w:cs="Calibri Light"/>
          <w:sz w:val="22"/>
        </w:rPr>
        <w:t xml:space="preserve">Les entreprises agroécologiques transforment la production écologique, les savoirs locaux et les systèmes alimentaires communautaires en produits et services viables. Elles regroupent des producteurs, des transformateurs, des agrégateurs, des fournisseurs d’intrants et de services, des distributeurs, des détaillants et d’autres acteurs opérant au sein de marchés territoriaux. Leur croissance peut renforcer les économies locales, créer des moyens de subsistance décents, élargir l’accès à une alimentation saine et améliorer la résilience des systèmes alimentaires.</w:t>
      </w:r>
    </w:p>
    <w:p w:rsidRPr="00C3218E" w:rsidR="00F17EEF" w:rsidP="0005733C" w:rsidRDefault="00000000" w14:paraId="7E81DEA7" w14:textId="77777777">
      <w:pPr>
        <w:keepLines/>
        <w:jc w:val="both"/>
        <w:rPr>
          <w:rFonts w:ascii="Calibri Light" w:hAnsi="Calibri Light" w:cs="Calibri Light"/>
          <w:sz w:val="22"/>
        </w:rPr>
      </w:pPr>
      <w:r w:rsidRPr="00C3218E">
        <w:rPr>
          <w:rFonts w:ascii="Calibri Light" w:hAnsi="Calibri Light" w:cs="Calibri Light"/>
          <w:sz w:val="22"/>
        </w:rPr>
        <w:t xml:space="preserve">De nombreuses entreprises agroécologiques (AAE) opèrent toutefois à petite échelle ou en phase de démarrage et sont confrontées à des flux de trésorerie saisonniers ou irréguliers. Les produits financiers traditionnels peuvent être difficiles à trouver ou exiger des garanties, des documents comptables, un enregistrement officiel, des antécédents de crédit, une certaine taille et des échéanciers de remboursement qui ne correspondent pas à ces entreprises. Un soutien utile peut également se situer en dehors des prêts conventionnels, notamment sous forme d’épargne, d’assurance, de garanties, de crédit-bail, de financement de factures ou de bons de commande, de paiements numériques, de financement par l’acheteur, de subventions de contrepartie, d’aide au développement des entreprises et d’opportunités de marché permettant d’augmenter ou de stabiliser les revenus.</w:t>
      </w:r>
    </w:p>
    <w:p w:rsidRPr="00C3218E" w:rsidR="00F17EEF" w:rsidP="0005733C" w:rsidRDefault="00000000" w14:paraId="5747AC1F" w14:textId="77777777">
      <w:pPr>
        <w:keepLines/>
        <w:jc w:val="both"/>
        <w:rPr>
          <w:rFonts w:ascii="Calibri Light" w:hAnsi="Calibri Light" w:cs="Calibri Light"/>
          <w:sz w:val="22"/>
        </w:rPr>
      </w:pPr>
      <w:r w:rsidRPr="00C3218E">
        <w:rPr>
          <w:rFonts w:ascii="Calibri Light" w:hAnsi="Calibri Light" w:cs="Calibri Light"/>
          <w:sz w:val="22"/>
        </w:rPr>
        <w:t xml:space="preserve">Les travaux de l’AFSA en matière de préparation des entreprises, de renforcement des capacités et de mise en relation ont démontré qu’une meilleure organisation et un engagement ciblé peuvent débloquer des financements et établir des relations avec les marchés. Ils ont également mis en évidence la nécessité de disposer d’informations structurées et comparables sur le paysage des services financiers dans chaque pays. L’étude proposée comblera ce manque d’informations, mettra en évidence les obstacles concrets à l’accès, élargira la compréhension du financement des entreprises et aidera les prestataires à concevoir des services plus pertinents. Elle servira à la fois la demande et l’offre : les AAE bénéficieront de voies d’accès plus claires, tandis que les prestataires disposeront de données concrètes sur un segment d’entreprises mal desservi.</w:t>
      </w:r>
    </w:p>
    <w:p w:rsidRPr="00C3218E" w:rsidR="002E29D8" w:rsidRDefault="00000000" w14:paraId="73A2FA0D" w14:textId="77777777">
      <w:pPr>
        <w:pStyle w:val="Heading1"/>
        <w:rPr>
          <w:rFonts w:ascii="Calibri Light" w:hAnsi="Calibri Light" w:cs="Calibri Light"/>
          <w:sz w:val="22"/>
          <w:szCs w:val="22"/>
        </w:rPr>
      </w:pPr>
      <w:r w:rsidRPr="00C3218E">
        <w:rPr>
          <w:rFonts w:ascii="Calibri Light" w:hAnsi="Calibri Light" w:cs="Calibri Light"/>
          <w:sz w:val="22"/>
          <w:szCs w:val="22"/>
        </w:rPr>
        <w:lastRenderedPageBreak/>
      </w:r>
      <w:r w:rsidRPr="00C3218E">
        <w:rPr>
          <w:rFonts w:ascii="Calibri Light" w:hAnsi="Calibri Light" w:cs="Calibri Light"/>
          <w:sz w:val="22"/>
          <w:szCs w:val="22"/>
        </w:rPr>
        <w:t xml:space="preserve">3. Justification et pertinence</w:t>
      </w:r>
    </w:p>
    <w:p w:rsidRPr="00C3218E" w:rsidR="002E29D8" w:rsidRDefault="00000000" w14:paraId="4E5FA7ED" w14:textId="77777777">
      <w:pPr>
        <w:rPr>
          <w:rFonts w:ascii="Calibri Light" w:hAnsi="Calibri Light" w:cs="Calibri Light"/>
          <w:sz w:val="22"/>
        </w:rPr>
      </w:pPr>
      <w:r w:rsidRPr="00C3218E">
        <w:rPr>
          <w:rFonts w:ascii="Calibri Light" w:hAnsi="Calibri Light" w:cs="Calibri Light"/>
          <w:sz w:val="22"/>
        </w:rPr>
        <w:t xml:space="preserve">Les travaux de l’AFSA en matière de préparation à l’investissement, de renforcement des capacités et de mise en relation ont amélioré la capacité des AAE à interagir avec les acteurs financiers et du marché. Cependant, l’orientation et la mise en relation sont plus efficaces lorsque les deux parties comprennent les options disponibles, les conditions d’accès et les besoins des entreprises. Une cartographie portant sur six pays fournira ces données manquantes et permettra à l’AFSA et aux plateformes nationales d’AAE de passer d’une mobilisation générale des ressources à des mises en relation ciblées et à un dialogue avec les prestataires.</w:t>
      </w:r>
    </w:p>
    <w:p w:rsidRPr="00C3218E" w:rsidR="002E29D8" w:rsidRDefault="00000000" w14:paraId="46BA1BD2" w14:textId="77777777">
      <w:pPr>
        <w:pStyle w:val="ListBullet"/>
        <w:rPr>
          <w:rFonts w:ascii="Calibri Light" w:hAnsi="Calibri Light" w:cs="Calibri Light"/>
          <w:sz w:val="22"/>
        </w:rPr>
      </w:pPr>
      <w:r w:rsidRPr="00C3218E">
        <w:rPr>
          <w:rFonts w:ascii="Calibri Light" w:hAnsi="Calibri Light" w:cs="Calibri Light"/>
          <w:sz w:val="22"/>
        </w:rPr>
        <w:t xml:space="preserve">Combler le déficit d’information en fournissant un guide fiable et spécifique à chaque pays sur les prestataires, les produits, les conditions d’éligibilité, les canaux de demande, les coûts et les points de contact.</w:t>
      </w:r>
    </w:p>
    <w:p w:rsidRPr="00C3218E" w:rsidR="002E29D8" w:rsidRDefault="00000000" w14:paraId="6CCA1044" w14:textId="77777777">
      <w:pPr>
        <w:pStyle w:val="ListBullet"/>
        <w:rPr>
          <w:rFonts w:ascii="Calibri Light" w:hAnsi="Calibri Light" w:cs="Calibri Light"/>
          <w:sz w:val="22"/>
        </w:rPr>
      </w:pPr>
      <w:r w:rsidRPr="00C3218E">
        <w:rPr>
          <w:rFonts w:ascii="Calibri Light" w:hAnsi="Calibri Light" w:cs="Calibri Light"/>
          <w:sz w:val="22"/>
        </w:rPr>
        <w:t xml:space="preserve">Mettre en évidence les obstacles pratiques à l’accès liés aux garanties, à l’enregistrement, à l’historique de crédit, à la documentation, à la localisation, à la langue, à l’accès au numérique, au montant des prêts et aux conditions de remboursement.</w:t>
      </w:r>
    </w:p>
    <w:p w:rsidRPr="00C3218E" w:rsidR="002E29D8" w:rsidRDefault="00000000" w14:paraId="1EDEFDC3" w14:textId="77777777">
      <w:pPr>
        <w:pStyle w:val="ListBullet"/>
        <w:rPr>
          <w:rFonts w:ascii="Calibri Light" w:hAnsi="Calibri Light" w:cs="Calibri Light"/>
          <w:sz w:val="22"/>
        </w:rPr>
      </w:pPr>
      <w:r w:rsidRPr="00C3218E">
        <w:rPr>
          <w:rFonts w:ascii="Calibri Light" w:hAnsi="Calibri Light" w:cs="Calibri Light"/>
          <w:sz w:val="22"/>
        </w:rPr>
        <w:t xml:space="preserve">Élargir la compréhension du financement des entreprises au-delà des prêts pour inclure l’épargne, la protection contre les risques, l’accès à l’équipement, des acheteurs fiables, de meilleurs prix, une réduction des coûts et d’autres opportunités d’augmentation des revenus.</w:t>
      </w:r>
    </w:p>
    <w:p w:rsidRPr="00C3218E" w:rsidR="002E29D8" w:rsidRDefault="00000000" w14:paraId="6BB9DB75" w14:textId="77777777">
      <w:pPr>
        <w:pStyle w:val="ListBullet"/>
        <w:rPr>
          <w:rFonts w:ascii="Calibri Light" w:hAnsi="Calibri Light" w:cs="Calibri Light"/>
          <w:sz w:val="22"/>
        </w:rPr>
      </w:pPr>
      <w:r w:rsidRPr="00C3218E">
        <w:rPr>
          <w:rFonts w:ascii="Calibri Light" w:hAnsi="Calibri Light" w:cs="Calibri Light"/>
          <w:sz w:val="22"/>
        </w:rPr>
        <w:t xml:space="preserve">Améliorer la pertinence des services en fournissant aux prestataires des données factuelles sur les cycles d’activité des entreprises, les modèles économiques mixtes et les besoins des entreprises dirigées par des femmes, des jeunes ou des communautés.</w:t>
      </w:r>
    </w:p>
    <w:p w:rsidRPr="00C3218E" w:rsidR="002E29D8" w:rsidRDefault="00000000" w14:paraId="54250B7E" w14:textId="77777777">
      <w:pPr>
        <w:pStyle w:val="ListBullet"/>
        <w:rPr>
          <w:rFonts w:ascii="Calibri Light" w:hAnsi="Calibri Light" w:cs="Calibri Light"/>
          <w:sz w:val="22"/>
        </w:rPr>
      </w:pPr>
      <w:r w:rsidRPr="00C3218E">
        <w:rPr>
          <w:rFonts w:ascii="Calibri Light" w:hAnsi="Calibri Light" w:cs="Calibri Light"/>
          <w:sz w:val="22"/>
        </w:rPr>
        <w:t xml:space="preserve">Renforcer </w:t>
      </w:r>
      <w:r w:rsidRPr="00C3218E">
        <w:rPr>
          <w:rFonts w:ascii="Calibri Light" w:hAnsi="Calibri Light" w:cs="Calibri Light"/>
          <w:sz w:val="22"/>
        </w:rPr>
        <w:t xml:space="preserve">le travail </w:t>
      </w:r>
      <w:r w:rsidRPr="00C3218E">
        <w:rPr>
          <w:rFonts w:ascii="Calibri Light" w:hAnsi="Calibri Light" w:cs="Calibri Light"/>
          <w:sz w:val="22"/>
        </w:rPr>
        <w:t xml:space="preserve">de l’AFSA en matière de soutien aux entreprises, </w:t>
      </w:r>
      <w:r w:rsidRPr="00C3218E">
        <w:rPr>
          <w:rFonts w:ascii="Calibri Light" w:hAnsi="Calibri Light" w:cs="Calibri Light"/>
          <w:sz w:val="22"/>
        </w:rPr>
        <w:t xml:space="preserve">d’éducation financière</w:t>
      </w:r>
      <w:r w:rsidRPr="00C3218E">
        <w:rPr>
          <w:rFonts w:ascii="Calibri Light" w:hAnsi="Calibri Light" w:cs="Calibri Light"/>
          <w:sz w:val="22"/>
        </w:rPr>
        <w:t xml:space="preserve">, de préparation à l’investissement, de mise en relation, de partenariats et de plaidoyer.</w:t>
      </w:r>
    </w:p>
    <w:p w:rsidRPr="00C3218E" w:rsidR="002E29D8" w:rsidRDefault="00000000" w14:paraId="2C36C182" w14:textId="77777777">
      <w:pPr>
        <w:rPr>
          <w:rFonts w:ascii="Calibri Light" w:hAnsi="Calibri Light" w:cs="Calibri Light"/>
          <w:sz w:val="22"/>
        </w:rPr>
      </w:pPr>
      <w:r w:rsidRPr="00C3218E">
        <w:rPr>
          <w:rFonts w:ascii="Calibri Light" w:hAnsi="Calibri Light" w:cs="Calibri Light"/>
          <w:sz w:val="22"/>
        </w:rPr>
        <w:t xml:space="preserve">Cette étude concerne donc à la fois l’offre et la demande. Les AAE bénéficieront de parcours plus clairs vers des services adaptés, tandis que les prestataires recevront des recommandations pratiques pour atteindre un segment d’entreprises mal desservi. L’AFSA et ses partenaires disposeront d’une base pour faciliter les relations, tester des solutions adaptées et suivre les améliorations en matière d’accès.</w:t>
      </w:r>
    </w:p>
    <w:p w:rsidRPr="00C3218E" w:rsidR="002E29D8" w:rsidRDefault="00000000" w14:paraId="4BAA5ECF" w14:textId="77777777">
      <w:pPr>
        <w:pStyle w:val="Heading1"/>
        <w:rPr>
          <w:rFonts w:ascii="Calibri Light" w:hAnsi="Calibri Light" w:cs="Calibri Light"/>
          <w:sz w:val="22"/>
          <w:szCs w:val="22"/>
        </w:rPr>
      </w:pPr>
      <w:r w:rsidRPr="00C3218E">
        <w:rPr>
          <w:rFonts w:ascii="Calibri Light" w:hAnsi="Calibri Light" w:cs="Calibri Light"/>
          <w:sz w:val="22"/>
          <w:szCs w:val="22"/>
        </w:rPr>
        <w:t xml:space="preserve">4. Objectif de l’étude</w:t>
      </w:r>
    </w:p>
    <w:p w:rsidRPr="00C3218E" w:rsidR="00F17EEF" w:rsidP="0005733C" w:rsidRDefault="00000000" w14:paraId="62040915" w14:textId="77777777">
      <w:pPr>
        <w:keepLines/>
        <w:jc w:val="both"/>
        <w:rPr>
          <w:rFonts w:ascii="Calibri Light" w:hAnsi="Calibri Light" w:cs="Calibri Light"/>
          <w:sz w:val="22"/>
        </w:rPr>
      </w:pPr>
      <w:r w:rsidRPr="00C3218E">
        <w:rPr>
          <w:rFonts w:ascii="Calibri Light" w:hAnsi="Calibri Light" w:cs="Calibri Light"/>
          <w:sz w:val="22"/>
        </w:rPr>
        <w:t xml:space="preserve">Constituer une base de données factuelles pratiques sur les services financiers et les opportunités d’augmentation des revenus accessibles aux entreprises agroécologiques en Ouganda, en Tanzanie, au Zimbabwe, en Zambie, au Sénégal et au Togo, et orienter l’amélioration de l’accès ainsi que la conception de services répondant mieux aux besoins des AAE.</w:t>
      </w:r>
    </w:p>
    <w:p w:rsidRPr="00C3218E" w:rsidR="002E29D8" w:rsidRDefault="00000000" w14:paraId="4FDD5B52" w14:textId="77777777">
      <w:pPr>
        <w:pStyle w:val="Heading1"/>
        <w:rPr>
          <w:rFonts w:ascii="Calibri Light" w:hAnsi="Calibri Light" w:cs="Calibri Light"/>
          <w:sz w:val="22"/>
          <w:szCs w:val="22"/>
        </w:rPr>
      </w:pPr>
      <w:r w:rsidRPr="00C3218E">
        <w:rPr>
          <w:rFonts w:ascii="Calibri Light" w:hAnsi="Calibri Light" w:cs="Calibri Light"/>
          <w:sz w:val="22"/>
          <w:szCs w:val="22"/>
        </w:rPr>
        <w:t xml:space="preserve">5. Objectifs spécifiques</w:t>
      </w:r>
    </w:p>
    <w:p w:rsidRPr="00C3218E" w:rsidR="00F17EEF" w:rsidP="0005733C" w:rsidRDefault="00000000" w14:paraId="7A0539D1" w14:textId="77777777">
      <w:pPr>
        <w:pStyle w:val="ListNumber"/>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Recenser et dresser le profil des prestataires de services financiers et des acteurs de soutien à l’augmentation des revenus pertinents dans chaque pays étudié, en documentant les services et les opportunités proposés, les modes de prestation, les clients cibles et la couverture géographique.</w:t>
      </w:r>
    </w:p>
    <w:p w:rsidRPr="00C3218E" w:rsidR="00F17EEF" w:rsidP="0005733C" w:rsidRDefault="00000000" w14:paraId="35880FBF" w14:textId="77777777">
      <w:pPr>
        <w:pStyle w:val="ListNumber"/>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Évaluer comment les AAE peuvent accéder aux services identifiés et les utiliser, notamment en ce qui concerne les conditions d’éligibilité, les procédures de demande, les coûts, les documents requis, les exigences en matière de garanties ou de sûretés, les canaux de distribution et les obstacles rencontrés par les différents types d’AAE.</w:t>
      </w:r>
    </w:p>
    <w:p w:rsidRPr="00C3218E" w:rsidR="00F17EEF" w:rsidP="0005733C" w:rsidRDefault="00000000" w14:paraId="3FD0DFF0" w14:textId="77777777">
      <w:pPr>
        <w:pStyle w:val="ListNumber"/>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Évaluer la pertinence, l’accessibilité financière, la flexibilité, le caractère inclusif et la contribution potentielle au revenu de ces services, y compris la manière dont l’accessibilité varie en fonction du genre, de l’âge, de la taille de l’entreprise, de la localisation, du rôle dans la chaîne de valeur et du statut de formalisation.</w:t>
      </w:r>
    </w:p>
    <w:p w:rsidRPr="00C3218E" w:rsidR="00F17EEF" w:rsidP="0005733C" w:rsidRDefault="00000000" w14:paraId="4B2BD3F4" w14:textId="77777777">
      <w:pPr>
        <w:pStyle w:val="ListNumber"/>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Identifier les contraintes des prestataires ainsi que les informations, les partenariats, les accords de partage des risques ou les mécanismes de soutien nécessaires pour servir plus efficacement les AAE.</w:t>
      </w:r>
    </w:p>
    <w:p w:rsidRPr="00C3218E" w:rsidR="00F17EEF" w:rsidP="0005733C" w:rsidRDefault="00000000" w14:paraId="6B6F0258" w14:textId="77777777">
      <w:pPr>
        <w:pStyle w:val="ListNumber"/>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Élaborer des recommandations spécifiques à chaque pays et transnationales concernant les services financiers, les partenariats et les modèles de prestation adaptés aux flux de trésorerie, aux stades de croissance et aux caractéristiques agroécologiques de l'AAE.</w:t>
      </w:r>
    </w:p>
    <w:p w:rsidRPr="00C3218E" w:rsidR="002E29D8" w:rsidRDefault="00000000" w14:paraId="1CB9C77B" w14:textId="77777777">
      <w:pPr>
        <w:pStyle w:val="Heading1"/>
        <w:rPr>
          <w:rFonts w:ascii="Calibri Light" w:hAnsi="Calibri Light" w:cs="Calibri Light"/>
          <w:sz w:val="22"/>
          <w:szCs w:val="22"/>
        </w:rPr>
      </w:pPr>
      <w:r w:rsidRPr="00C3218E">
        <w:rPr>
          <w:rFonts w:ascii="Calibri Light" w:hAnsi="Calibri Light" w:cs="Calibri Light"/>
          <w:sz w:val="22"/>
          <w:szCs w:val="22"/>
        </w:rPr>
        <w:t xml:space="preserve">6. Portée de l’étude</w:t>
      </w:r>
    </w:p>
    <w:p w:rsidRPr="00C3218E" w:rsidR="002E29D8" w:rsidRDefault="00000000" w14:paraId="1E268789" w14:textId="77777777">
      <w:pPr>
        <w:pStyle w:val="Heading2"/>
        <w:rPr>
          <w:rFonts w:ascii="Calibri Light" w:hAnsi="Calibri Light" w:cs="Calibri Light"/>
          <w:sz w:val="22"/>
          <w:szCs w:val="22"/>
        </w:rPr>
      </w:pPr>
      <w:r w:rsidRPr="00C3218E">
        <w:rPr>
          <w:rFonts w:ascii="Calibri Light" w:hAnsi="Calibri Light" w:cs="Calibri Light"/>
          <w:sz w:val="22"/>
          <w:szCs w:val="22"/>
        </w:rPr>
        <w:t xml:space="preserve">6.1 Portée géographique et portée en termes d’entreprises</w:t>
      </w:r>
    </w:p>
    <w:p w:rsidRPr="00C3218E" w:rsidR="00F17EEF" w:rsidP="0005733C" w:rsidRDefault="00000000" w14:paraId="472A620B" w14:textId="77777777">
      <w:pPr>
        <w:keepLines/>
        <w:jc w:val="both"/>
        <w:rPr>
          <w:rFonts w:ascii="Calibri Light" w:hAnsi="Calibri Light" w:cs="Calibri Light"/>
          <w:sz w:val="22"/>
        </w:rPr>
      </w:pPr>
      <w:r w:rsidRPr="00C3218E">
        <w:rPr>
          <w:rFonts w:ascii="Calibri Light" w:hAnsi="Calibri Light" w:cs="Calibri Light"/>
          <w:sz w:val="22"/>
        </w:rPr>
        <w:t xml:space="preserve">L’étude portera sur l’Ouganda, la Tanzanie, le Zimbabwe, la Zambie, le Sénégal et le Togo. Elle inclura les AAE opérant dans la production, la transformation, la collecte, la distribution, la vente au détail, les intrants, les services de conseil et d’autres fonctions de la chaîne de valeur agroalimentaire. L’échantillonnage doit refléter les différences en termes de stade de développement et de taille des entreprises, de produits ou de services, de localisation rurale ou urbaine, de statut de formalisation et de structure de propriété, en incluant délibérément des entreprises dirigées par des femmes et des jeunes.</w:t>
      </w:r>
    </w:p>
    <w:p w:rsidRPr="00C3218E" w:rsidR="002E29D8" w:rsidRDefault="00000000" w14:paraId="40002094" w14:textId="77777777">
      <w:pPr>
        <w:pStyle w:val="Heading2"/>
        <w:rPr>
          <w:rFonts w:ascii="Calibri Light" w:hAnsi="Calibri Light" w:cs="Calibri Light"/>
          <w:sz w:val="22"/>
          <w:szCs w:val="22"/>
        </w:rPr>
      </w:pPr>
      <w:r w:rsidRPr="00C3218E">
        <w:rPr>
          <w:rFonts w:ascii="Calibri Light" w:hAnsi="Calibri Light" w:cs="Calibri Light"/>
          <w:sz w:val="22"/>
          <w:szCs w:val="22"/>
        </w:rPr>
        <w:lastRenderedPageBreak/>
      </w:r>
      <w:r w:rsidRPr="00C3218E">
        <w:rPr>
          <w:rFonts w:ascii="Calibri Light" w:hAnsi="Calibri Light" w:cs="Calibri Light"/>
          <w:sz w:val="22"/>
          <w:szCs w:val="22"/>
        </w:rPr>
        <w:t xml:space="preserve">6.2 Portée en termes de prestataires</w:t>
      </w:r>
    </w:p>
    <w:p w:rsidRPr="00C3218E" w:rsidR="00F17EEF" w:rsidP="00323B58" w:rsidRDefault="00000000" w14:paraId="5FEEACC6" w14:textId="77777777">
      <w:pPr>
        <w:keepLines/>
        <w:jc w:val="both"/>
        <w:rPr>
          <w:rFonts w:ascii="Calibri Light" w:hAnsi="Calibri Light" w:cs="Calibri Light"/>
          <w:sz w:val="22"/>
        </w:rPr>
      </w:pPr>
      <w:r w:rsidRPr="00C3218E">
        <w:rPr>
          <w:rFonts w:ascii="Calibri Light" w:hAnsi="Calibri Light" w:cs="Calibri Light"/>
          <w:sz w:val="22"/>
        </w:rPr>
        <w:t xml:space="preserve">La cartographie devra couvrir les banques commerciales et de développement ; les institutions de microfinance ; les coopératives d’épargne et de crédit ; les assureurs ; les prestataires de fintech et de paiement mobile ; les sociétés de crédit-bail et de financement d’actifs ; les investisseurs et fonds d’impact ; les mécanismes de garantie ; les programmes gouvernementaux en faveur des entreprises et de l’agriculture ; les fondations et les bailleurs de fonds ; les acheteurs, agrégateurs et preneurs d’engagements d’achat ; les coopératives ; les prestataires de services de développement des entreprises ; et d’autres acteurs dont les services ou les opportunités ont une incidence sur les revenus et la résilience financière des entreprises.</w:t>
      </w:r>
    </w:p>
    <w:p w:rsidRPr="00C3218E" w:rsidR="002E29D8" w:rsidRDefault="00000000" w14:paraId="62670E0E" w14:textId="77777777">
      <w:pPr>
        <w:pStyle w:val="Heading2"/>
        <w:rPr>
          <w:rFonts w:ascii="Calibri Light" w:hAnsi="Calibri Light" w:cs="Calibri Light"/>
          <w:sz w:val="22"/>
          <w:szCs w:val="22"/>
        </w:rPr>
      </w:pPr>
      <w:r w:rsidRPr="00C3218E">
        <w:rPr>
          <w:rFonts w:ascii="Calibri Light" w:hAnsi="Calibri Light" w:cs="Calibri Light"/>
          <w:sz w:val="22"/>
          <w:szCs w:val="22"/>
        </w:rPr>
        <w:t xml:space="preserve">6.3 Services et opportunités à examiner</w:t>
      </w:r>
    </w:p>
    <w:tbl>
      <w:tblPr>
        <w:tblStyle w:val="TableGrid"/>
        <w:tblW w:w="0" w:type="auto"/>
        <w:jc w:val="center"/>
        <w:tblLayout w:type="fixed"/>
        <w:tblLook w:val="04a0"/>
      </w:tblPr>
      <w:tblGrid>
        <w:gridCol w:w="1800"/>
        <w:gridCol w:w="3528"/>
        <w:gridCol w:w="4032"/>
      </w:tblGrid>
      <w:tr w:rsidRPr="00C3218E" w:rsidR="00F17EEF" w:rsidTr="00EB503F" w14:paraId="3A4CFC0C" w14:textId="77777777">
        <w:trPr>
          <w:cantSplit/>
          <w:tblHeader/>
          <w:jc w:val="center"/>
        </w:trPr>
        <w:tc>
          <w:tcPr>
            <w:tcW w:w="1800" w:type="dxa"/>
            <w:shd w:val="clear" w:color="auto" w:fill="981C4F"/>
            <w:tcMar>
              <w:top w:w="90" w:type="dxa"/>
              <w:left w:w="120" w:type="dxa"/>
              <w:bottom w:w="90" w:type="dxa"/>
              <w:right w:w="120" w:type="dxa"/>
            </w:tcMar>
            <w:vAlign w:val="center"/>
          </w:tcPr>
          <w:p w:rsidRPr="00C3218E" w:rsidR="00F17EEF" w:rsidP="0005733C" w:rsidRDefault="00000000" w14:paraId="26931F08" w14:textId="77777777">
            <w:pPr>
              <w:jc w:val="both"/>
              <w:rPr>
                <w:rFonts w:ascii="Calibri Light" w:hAnsi="Calibri Light" w:cs="Calibri Light"/>
                <w:sz w:val="22"/>
              </w:rPr>
            </w:pPr>
            <w:r w:rsidRPr="00C3218E">
              <w:rPr>
                <w:rFonts w:ascii="Calibri Light" w:hAnsi="Calibri Light" w:cs="Calibri Light"/>
                <w:b/>
                <w:color w:val="FFFFFF"/>
                <w:sz w:val="22"/>
              </w:rPr>
              <w:t xml:space="preserve">Domaine de service</w:t>
            </w:r>
          </w:p>
        </w:tc>
        <w:tc>
          <w:tcPr>
            <w:tcW w:w="3528" w:type="dxa"/>
            <w:shd w:val="clear" w:color="auto" w:fill="981C4F"/>
            <w:tcMar>
              <w:top w:w="90" w:type="dxa"/>
              <w:left w:w="120" w:type="dxa"/>
              <w:bottom w:w="90" w:type="dxa"/>
              <w:right w:w="120" w:type="dxa"/>
            </w:tcMar>
            <w:vAlign w:val="center"/>
          </w:tcPr>
          <w:p w:rsidRPr="00C3218E" w:rsidR="00F17EEF" w:rsidP="0005733C" w:rsidRDefault="00000000" w14:paraId="751A379E" w14:textId="77777777">
            <w:pPr>
              <w:jc w:val="both"/>
              <w:rPr>
                <w:rFonts w:ascii="Calibri Light" w:hAnsi="Calibri Light" w:cs="Calibri Light"/>
                <w:sz w:val="22"/>
              </w:rPr>
            </w:pPr>
            <w:r w:rsidRPr="00C3218E">
              <w:rPr>
                <w:rFonts w:ascii="Calibri Light" w:hAnsi="Calibri Light" w:cs="Calibri Light"/>
                <w:b/>
                <w:color w:val="FFFFFF"/>
                <w:sz w:val="22"/>
              </w:rPr>
              <w:t xml:space="preserve">Exemples de services</w:t>
            </w:r>
          </w:p>
        </w:tc>
        <w:tc>
          <w:tcPr>
            <w:tcW w:w="4032" w:type="dxa"/>
            <w:shd w:val="clear" w:color="auto" w:fill="981C4F"/>
            <w:tcMar>
              <w:top w:w="90" w:type="dxa"/>
              <w:left w:w="120" w:type="dxa"/>
              <w:bottom w:w="90" w:type="dxa"/>
              <w:right w:w="120" w:type="dxa"/>
            </w:tcMar>
            <w:vAlign w:val="center"/>
          </w:tcPr>
          <w:p w:rsidRPr="00C3218E" w:rsidR="00F17EEF" w:rsidP="0005733C" w:rsidRDefault="00000000" w14:paraId="09D48DB5" w14:textId="77777777">
            <w:pPr>
              <w:jc w:val="both"/>
              <w:rPr>
                <w:rFonts w:ascii="Calibri Light" w:hAnsi="Calibri Light" w:cs="Calibri Light"/>
                <w:sz w:val="22"/>
              </w:rPr>
            </w:pPr>
            <w:r w:rsidRPr="00C3218E">
              <w:rPr>
                <w:rFonts w:ascii="Calibri Light" w:hAnsi="Calibri Light" w:cs="Calibri Light"/>
                <w:b/>
                <w:color w:val="FFFFFF"/>
                <w:sz w:val="22"/>
              </w:rPr>
              <w:t xml:space="preserve">Informations à documenter</w:t>
            </w:r>
          </w:p>
        </w:tc>
      </w:tr>
      <w:tr w:rsidRPr="00C3218E" w:rsidR="00F17EEF" w14:paraId="4E51502A" w14:textId="77777777">
        <w:trPr>
          <w:cantSplit/>
          <w:jc w:val="center"/>
        </w:trPr>
        <w:tc>
          <w:tcPr>
            <w:tcW w:w="1800" w:type="dxa"/>
            <w:tcMar>
              <w:top w:w="90" w:type="dxa"/>
              <w:left w:w="120" w:type="dxa"/>
              <w:bottom w:w="90" w:type="dxa"/>
              <w:right w:w="120" w:type="dxa"/>
            </w:tcMar>
            <w:vAlign w:val="center"/>
          </w:tcPr>
          <w:p w:rsidRPr="00C3218E" w:rsidR="00F17EEF" w:rsidP="0005733C" w:rsidRDefault="00000000" w14:paraId="366E210A"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Capital et liquidités</w:t>
            </w:r>
          </w:p>
        </w:tc>
        <w:tc>
          <w:tcPr>
            <w:tcW w:w="3528" w:type="dxa"/>
            <w:tcMar>
              <w:top w:w="90" w:type="dxa"/>
              <w:left w:w="120" w:type="dxa"/>
              <w:bottom w:w="90" w:type="dxa"/>
              <w:right w:w="120" w:type="dxa"/>
            </w:tcMar>
            <w:vAlign w:val="center"/>
          </w:tcPr>
          <w:p w:rsidRPr="00C3218E" w:rsidR="00F17EEF" w:rsidP="0005733C" w:rsidRDefault="00000000" w14:paraId="39F65DD1"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Fonds de roulement, prêts à terme, découverts bancaires, fonds propres, subventions et financement mixte</w:t>
            </w:r>
          </w:p>
        </w:tc>
        <w:tc>
          <w:tcPr>
            <w:tcW w:w="4032" w:type="dxa"/>
            <w:tcMar>
              <w:top w:w="90" w:type="dxa"/>
              <w:left w:w="120" w:type="dxa"/>
              <w:bottom w:w="90" w:type="dxa"/>
              <w:right w:w="120" w:type="dxa"/>
            </w:tcMar>
            <w:vAlign w:val="center"/>
          </w:tcPr>
          <w:p w:rsidRPr="00C3218E" w:rsidR="00F17EEF" w:rsidP="0005733C" w:rsidRDefault="00000000" w14:paraId="3B79E4F5"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Montant, durée, taux d’intérêt ou frais, devise, remboursement, garantie et délai de grâce</w:t>
            </w:r>
          </w:p>
        </w:tc>
      </w:tr>
      <w:tr w:rsidRPr="00C3218E" w:rsidR="00F17EEF" w14:paraId="71F25932" w14:textId="77777777">
        <w:trPr>
          <w:cantSplit/>
          <w:jc w:val="center"/>
        </w:trPr>
        <w:tc>
          <w:tcPr>
            <w:tcW w:w="1800" w:type="dxa"/>
            <w:tcMar>
              <w:top w:w="90" w:type="dxa"/>
              <w:left w:w="120" w:type="dxa"/>
              <w:bottom w:w="90" w:type="dxa"/>
              <w:right w:w="120" w:type="dxa"/>
            </w:tcMar>
            <w:vAlign w:val="center"/>
          </w:tcPr>
          <w:p w:rsidRPr="00C3218E" w:rsidR="00F17EEF" w:rsidP="0005733C" w:rsidRDefault="00000000" w14:paraId="207D27D6"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Épargne et transactions</w:t>
            </w:r>
          </w:p>
        </w:tc>
        <w:tc>
          <w:tcPr>
            <w:tcW w:w="3528" w:type="dxa"/>
            <w:tcMar>
              <w:top w:w="90" w:type="dxa"/>
              <w:left w:w="120" w:type="dxa"/>
              <w:bottom w:w="90" w:type="dxa"/>
              <w:right w:w="120" w:type="dxa"/>
            </w:tcMar>
            <w:vAlign w:val="center"/>
          </w:tcPr>
          <w:p w:rsidRPr="00C3218E" w:rsidR="00F17EEF" w:rsidP="0005733C" w:rsidRDefault="00000000" w14:paraId="7C6E08A4"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Épargne, comptes courants, portefeuilles numériques, paiements auprès des commerçants et transferts de fonds</w:t>
            </w:r>
          </w:p>
        </w:tc>
        <w:tc>
          <w:tcPr>
            <w:tcW w:w="4032" w:type="dxa"/>
            <w:tcMar>
              <w:top w:w="90" w:type="dxa"/>
              <w:left w:w="120" w:type="dxa"/>
              <w:bottom w:w="90" w:type="dxa"/>
              <w:right w:w="120" w:type="dxa"/>
            </w:tcMar>
            <w:vAlign w:val="center"/>
          </w:tcPr>
          <w:p w:rsidRPr="00C3218E" w:rsidR="00F17EEF" w:rsidP="0005733C" w:rsidRDefault="00000000" w14:paraId="244E7BDB"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Conditions d’ouverture, coûts de transaction, accès en agence, chez un agent ou en ligne, et documents générés</w:t>
            </w:r>
          </w:p>
        </w:tc>
      </w:tr>
      <w:tr w:rsidRPr="00C3218E" w:rsidR="00F17EEF" w14:paraId="2BD163B9" w14:textId="77777777">
        <w:trPr>
          <w:cantSplit/>
          <w:jc w:val="center"/>
        </w:trPr>
        <w:tc>
          <w:tcPr>
            <w:tcW w:w="1800" w:type="dxa"/>
            <w:tcMar>
              <w:top w:w="90" w:type="dxa"/>
              <w:left w:w="120" w:type="dxa"/>
              <w:bottom w:w="90" w:type="dxa"/>
              <w:right w:w="120" w:type="dxa"/>
            </w:tcMar>
            <w:vAlign w:val="center"/>
          </w:tcPr>
          <w:p w:rsidRPr="00C3218E" w:rsidR="00F17EEF" w:rsidP="0005733C" w:rsidRDefault="00000000" w14:paraId="7954CECB"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Gestion des risques</w:t>
            </w:r>
          </w:p>
        </w:tc>
        <w:tc>
          <w:tcPr>
            <w:tcW w:w="3528" w:type="dxa"/>
            <w:tcMar>
              <w:top w:w="90" w:type="dxa"/>
              <w:left w:w="120" w:type="dxa"/>
              <w:bottom w:w="90" w:type="dxa"/>
              <w:right w:w="120" w:type="dxa"/>
            </w:tcMar>
            <w:vAlign w:val="center"/>
          </w:tcPr>
          <w:p w:rsidRPr="00C3218E" w:rsidR="00F17EEF" w:rsidP="0005733C" w:rsidRDefault="00000000" w14:paraId="458E36DC"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Assurances </w:t>
            </w:r>
            <w:r w:rsidRPr="00C3218E">
              <w:rPr>
                <w:rFonts w:ascii="Calibri Light" w:hAnsi="Calibri Light" w:cs="Calibri Light"/>
                <w:sz w:val="22"/>
              </w:rPr>
              <w:t xml:space="preserve">récoltes, bétail, </w:t>
            </w:r>
            <w:r w:rsidRPr="00C3218E">
              <w:rPr>
                <w:rFonts w:ascii="Calibri Light" w:hAnsi="Calibri Light" w:cs="Calibri Light"/>
                <w:sz w:val="22"/>
              </w:rPr>
              <w:t xml:space="preserve">biens</w:t>
            </w:r>
            <w:r w:rsidRPr="00C3218E">
              <w:rPr>
                <w:rFonts w:ascii="Calibri Light" w:hAnsi="Calibri Light" w:cs="Calibri Light"/>
                <w:sz w:val="22"/>
              </w:rPr>
              <w:t xml:space="preserve">, santé ou entreprise ; garanties ; dispositifs d’urgence</w:t>
            </w:r>
          </w:p>
        </w:tc>
        <w:tc>
          <w:tcPr>
            <w:tcW w:w="4032" w:type="dxa"/>
            <w:tcMar>
              <w:top w:w="90" w:type="dxa"/>
              <w:left w:w="120" w:type="dxa"/>
              <w:bottom w:w="90" w:type="dxa"/>
              <w:right w:w="120" w:type="dxa"/>
            </w:tcMar>
            <w:vAlign w:val="center"/>
          </w:tcPr>
          <w:p w:rsidRPr="00C3218E" w:rsidR="00F17EEF" w:rsidP="0005733C" w:rsidRDefault="00000000" w14:paraId="7BDB6C29"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Couverture, prime, exclusions, sinistres, offres groupées et accords de partage des risques</w:t>
            </w:r>
          </w:p>
        </w:tc>
      </w:tr>
      <w:tr w:rsidRPr="00C3218E" w:rsidR="00F17EEF" w14:paraId="1A8BB56E" w14:textId="77777777">
        <w:trPr>
          <w:cantSplit/>
          <w:jc w:val="center"/>
        </w:trPr>
        <w:tc>
          <w:tcPr>
            <w:tcW w:w="1800" w:type="dxa"/>
            <w:tcMar>
              <w:top w:w="90" w:type="dxa"/>
              <w:left w:w="120" w:type="dxa"/>
              <w:bottom w:w="90" w:type="dxa"/>
              <w:right w:w="120" w:type="dxa"/>
            </w:tcMar>
            <w:vAlign w:val="center"/>
          </w:tcPr>
          <w:p w:rsidRPr="00C3218E" w:rsidR="00F17EEF" w:rsidP="0005733C" w:rsidRDefault="00000000" w14:paraId="1AEB6961"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Actifs et technologie</w:t>
            </w:r>
          </w:p>
        </w:tc>
        <w:tc>
          <w:tcPr>
            <w:tcW w:w="3528" w:type="dxa"/>
            <w:tcMar>
              <w:top w:w="90" w:type="dxa"/>
              <w:left w:w="120" w:type="dxa"/>
              <w:bottom w:w="90" w:type="dxa"/>
              <w:right w:w="120" w:type="dxa"/>
            </w:tcMar>
            <w:vAlign w:val="center"/>
          </w:tcPr>
          <w:p w:rsidRPr="00C3218E" w:rsidR="00F17EEF" w:rsidP="0005733C" w:rsidRDefault="00000000" w14:paraId="5436786B"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Crédit-bail, location-vente, crédit fournisseur, financement d’équipements et d’énergies renouvelables</w:t>
            </w:r>
          </w:p>
        </w:tc>
        <w:tc>
          <w:tcPr>
            <w:tcW w:w="4032" w:type="dxa"/>
            <w:tcMar>
              <w:top w:w="90" w:type="dxa"/>
              <w:left w:w="120" w:type="dxa"/>
              <w:bottom w:w="90" w:type="dxa"/>
              <w:right w:w="120" w:type="dxa"/>
            </w:tcMar>
            <w:vAlign w:val="center"/>
          </w:tcPr>
          <w:p w:rsidRPr="00C3218E" w:rsidR="00F17EEF" w:rsidP="0005733C" w:rsidRDefault="00000000" w14:paraId="48B673F7"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Dépôt, propriété, entretien, options de paiement à l’utilisation et potentiel d’utilisation productive</w:t>
            </w:r>
          </w:p>
        </w:tc>
      </w:tr>
      <w:tr w:rsidRPr="00C3218E" w:rsidR="00F17EEF" w14:paraId="5A2F71A8" w14:textId="77777777">
        <w:trPr>
          <w:cantSplit/>
          <w:jc w:val="center"/>
        </w:trPr>
        <w:tc>
          <w:tcPr>
            <w:tcW w:w="1800" w:type="dxa"/>
            <w:tcMar>
              <w:top w:w="90" w:type="dxa"/>
              <w:left w:w="120" w:type="dxa"/>
              <w:bottom w:w="90" w:type="dxa"/>
              <w:right w:w="120" w:type="dxa"/>
            </w:tcMar>
            <w:vAlign w:val="center"/>
          </w:tcPr>
          <w:p w:rsidRPr="00C3218E" w:rsidR="00F17EEF" w:rsidP="0005733C" w:rsidRDefault="00000000" w14:paraId="7CBC099C"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Financement du commerce et des marchés</w:t>
            </w:r>
          </w:p>
        </w:tc>
        <w:tc>
          <w:tcPr>
            <w:tcW w:w="3528" w:type="dxa"/>
            <w:tcMar>
              <w:top w:w="90" w:type="dxa"/>
              <w:left w:w="120" w:type="dxa"/>
              <w:bottom w:w="90" w:type="dxa"/>
              <w:right w:w="120" w:type="dxa"/>
            </w:tcMar>
            <w:vAlign w:val="center"/>
          </w:tcPr>
          <w:p w:rsidRPr="00C3218E" w:rsidR="00F17EEF" w:rsidP="0005733C" w:rsidRDefault="00000000" w14:paraId="54C99EE8"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Financement des factures et des bons de commande, récépissés d’entrepôt, avances d’acheteurs et financement des exportations</w:t>
            </w:r>
          </w:p>
        </w:tc>
        <w:tc>
          <w:tcPr>
            <w:tcW w:w="4032" w:type="dxa"/>
            <w:tcMar>
              <w:top w:w="90" w:type="dxa"/>
              <w:left w:w="120" w:type="dxa"/>
              <w:bottom w:w="90" w:type="dxa"/>
              <w:right w:w="120" w:type="dxa"/>
            </w:tcMar>
            <w:vAlign w:val="center"/>
          </w:tcPr>
          <w:p w:rsidRPr="00C3218E" w:rsidR="00F17EEF" w:rsidP="0005733C" w:rsidRDefault="00000000" w14:paraId="55E20039"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Exigences contractuelles, acheteurs éligibles, règlement, saisonnalité, risques et protections</w:t>
            </w:r>
          </w:p>
        </w:tc>
      </w:tr>
      <w:tr w:rsidRPr="00C3218E" w:rsidR="00F17EEF" w14:paraId="51ECF291" w14:textId="77777777">
        <w:trPr>
          <w:cantSplit/>
          <w:jc w:val="center"/>
        </w:trPr>
        <w:tc>
          <w:tcPr>
            <w:tcW w:w="1800" w:type="dxa"/>
            <w:tcMar>
              <w:top w:w="90" w:type="dxa"/>
              <w:left w:w="120" w:type="dxa"/>
              <w:bottom w:w="90" w:type="dxa"/>
              <w:right w:w="120" w:type="dxa"/>
            </w:tcMar>
            <w:vAlign w:val="center"/>
          </w:tcPr>
          <w:p w:rsidRPr="00C3218E" w:rsidR="00F17EEF" w:rsidP="0005733C" w:rsidRDefault="00000000" w14:paraId="692829E6"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Soutien à l’amélioration des revenus</w:t>
            </w:r>
          </w:p>
        </w:tc>
        <w:tc>
          <w:tcPr>
            <w:tcW w:w="3528" w:type="dxa"/>
            <w:tcMar>
              <w:top w:w="90" w:type="dxa"/>
              <w:left w:w="120" w:type="dxa"/>
              <w:bottom w:w="90" w:type="dxa"/>
              <w:right w:w="120" w:type="dxa"/>
            </w:tcMar>
            <w:vAlign w:val="center"/>
          </w:tcPr>
          <w:p w:rsidRPr="00C3218E" w:rsidR="00F17EEF" w:rsidP="0005733C" w:rsidRDefault="00000000" w14:paraId="44DC3DA9"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Liens avec les marchés, approvisionnement, valeur ajoutée, certification, incubation et assistance technique</w:t>
            </w:r>
          </w:p>
        </w:tc>
        <w:tc>
          <w:tcPr>
            <w:tcW w:w="4032" w:type="dxa"/>
            <w:tcMar>
              <w:top w:w="90" w:type="dxa"/>
              <w:left w:w="120" w:type="dxa"/>
              <w:bottom w:w="90" w:type="dxa"/>
              <w:right w:w="120" w:type="dxa"/>
            </w:tcMar>
            <w:vAlign w:val="center"/>
          </w:tcPr>
          <w:p w:rsidRPr="00C3218E" w:rsidR="00F17EEF" w:rsidP="0005733C" w:rsidRDefault="00000000" w14:paraId="503665D1"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Comment l’aide peut-elle augmenter les recettes, améliorer les prix, réduire les coûts ou stabiliser les revenus</w:t>
            </w:r>
          </w:p>
        </w:tc>
      </w:tr>
    </w:tbl>
    <w:p w:rsidRPr="00C3218E" w:rsidR="00F17EEF" w:rsidP="0005733C" w:rsidRDefault="00F17EEF" w14:paraId="0A22973F" w14:textId="77777777">
      <w:pPr>
        <w:spacing w:after="0"/>
        <w:jc w:val="both"/>
        <w:rPr>
          <w:rFonts w:ascii="Calibri Light" w:hAnsi="Calibri Light" w:cs="Calibri Light"/>
          <w:sz w:val="22"/>
        </w:rPr>
      </w:pPr>
    </w:p>
    <w:p w:rsidRPr="00C3218E" w:rsidR="00F17EEF" w:rsidP="0005733C" w:rsidRDefault="00000000" w14:paraId="6C10F4F2" w14:textId="77777777">
      <w:pPr>
        <w:keepLines/>
        <w:jc w:val="both"/>
        <w:rPr>
          <w:rFonts w:ascii="Calibri Light" w:hAnsi="Calibri Light" w:cs="Calibri Light"/>
          <w:sz w:val="22"/>
        </w:rPr>
      </w:pPr>
      <w:r w:rsidRPr="00C3218E">
        <w:rPr>
          <w:rFonts w:ascii="Calibri Light" w:hAnsi="Calibri Light" w:cs="Calibri Light"/>
          <w:b/>
          <w:sz w:val="22"/>
        </w:rPr>
        <w:t xml:space="preserve">Important : </w:t>
      </w:r>
      <w:r w:rsidRPr="00C3218E">
        <w:rPr>
          <w:rFonts w:ascii="Calibri Light" w:hAnsi="Calibri Light" w:cs="Calibri Light"/>
          <w:sz w:val="22"/>
        </w:rPr>
        <w:t xml:space="preserve">l’étude ne doit pas partir du principe que le recours à l’endettement est toujours la solution appropriée. Les besoins des entreprises doivent être mis en adéquation avec l’option la plus adaptée, qui peut inclure l’épargne, l’assurance, l’accès à des équipements, un contrat avec un acheteur, une subvention, un accompagnement des entreprises, l’amélioration des conditions de paiement ou toute autre opportunité d’augmentation des revenus.</w:t>
      </w:r>
    </w:p>
    <w:p w:rsidRPr="00C3218E" w:rsidR="002E29D8" w:rsidRDefault="00000000" w14:paraId="6191D66E" w14:textId="77777777">
      <w:pPr>
        <w:pStyle w:val="Heading1"/>
        <w:rPr>
          <w:rFonts w:ascii="Calibri Light" w:hAnsi="Calibri Light" w:cs="Calibri Light"/>
          <w:sz w:val="22"/>
          <w:szCs w:val="22"/>
        </w:rPr>
      </w:pPr>
      <w:r w:rsidRPr="00C3218E">
        <w:rPr>
          <w:rFonts w:ascii="Calibri Light" w:hAnsi="Calibri Light" w:cs="Calibri Light"/>
          <w:sz w:val="22"/>
          <w:szCs w:val="22"/>
        </w:rPr>
        <w:t xml:space="preserve">7. Questions centrales de l’étude</w:t>
      </w:r>
    </w:p>
    <w:p w:rsidRPr="00C3218E" w:rsidR="00F17EEF" w:rsidP="0005733C" w:rsidRDefault="00000000" w14:paraId="32DC372B"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Quels prestataires accompagnent actuellement, ou pourraient de manière réaliste accompagner, les AAE dans chaque pays ?</w:t>
      </w:r>
    </w:p>
    <w:p w:rsidRPr="00C3218E" w:rsidR="00F17EEF" w:rsidP="0005733C" w:rsidRDefault="00000000" w14:paraId="453D341A"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Quels services financiers et d’augmentation des revenus proposent-ils, et à quels besoins des entreprises ces services sont-ils destinés à répondre ?</w:t>
      </w:r>
    </w:p>
    <w:p w:rsidRPr="00C3218E" w:rsidR="00F17EEF" w:rsidP="0005733C" w:rsidRDefault="00000000" w14:paraId="5804AE39"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Comment ces services sont-ils fournis : individuellement ou en groupe, physiquement ou en ligne, sous forme d’aide autonome ou combinée, en espèces ou en nature, et selon des modalités remboursables ou non remboursables ?</w:t>
      </w:r>
    </w:p>
    <w:p w:rsidRPr="00C3218E" w:rsidR="00F17EEF" w:rsidP="0005733C" w:rsidRDefault="00000000" w14:paraId="469CA64F"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Quelles sont les conditions des produits, les règles d’éligibilité, les étapes de la demande, les délais de décision et les points de contact ?</w:t>
      </w:r>
    </w:p>
    <w:p w:rsidRPr="00C3218E" w:rsidR="00F17EEF" w:rsidP="0005733C" w:rsidRDefault="00000000" w14:paraId="02A50A3B"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Quels documents, garanties, apports en capital, immatriculations, chiffres d’affaires, antécédents de crédit, contrats ou certifications sont exigés ?</w:t>
      </w:r>
    </w:p>
    <w:p w:rsidRPr="00C3218E" w:rsidR="00F17EEF" w:rsidP="0005733C" w:rsidRDefault="00000000" w14:paraId="108631A2"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Quels services les AAE utilisent-elles déjà, à quelles fins, et avec quels résultats ou difficultés ?</w:t>
      </w:r>
    </w:p>
    <w:p w:rsidRPr="00C3218E" w:rsidR="00F17EEF" w:rsidP="0005733C" w:rsidRDefault="00000000" w14:paraId="072AD02D"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Comment l’accès et l’expérience varient-ils en fonction du genre, de l’âge, de la taille de l’entreprise, de la localisation, du rôle dans la chaîne de valeur et du niveau de formalisation ?</w:t>
      </w:r>
    </w:p>
    <w:p w:rsidRPr="00C3218E" w:rsidR="00F17EEF" w:rsidP="0005733C" w:rsidRDefault="00000000" w14:paraId="1080FAEF"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Quels services peuvent contribuer à des revenus plus élevés ou plus stables grâce aux marchés, à la productivité, à la valeur ajoutée, à la réduction des pertes ou des coûts, à une meilleure tarification ou à la gestion des risques ?</w:t>
      </w:r>
    </w:p>
    <w:p w:rsidRPr="00C3218E" w:rsidR="00F17EEF" w:rsidP="0005733C" w:rsidRDefault="00000000" w14:paraId="3F275939"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lastRenderedPageBreak/>
      </w:r>
      <w:r w:rsidRPr="00C3218E">
        <w:rPr>
          <w:rFonts w:ascii="Calibri Light" w:hAnsi="Calibri Light" w:cs="Calibri Light"/>
          <w:sz w:val="22"/>
        </w:rPr>
        <w:t xml:space="preserve">Qu’est-ce qui empêche les prestataires de services de s’adresser aux AAE, et quelles informations, partenariats ou mécanismes de partage des risques rendraient ce segment plus viable ?</w:t>
      </w:r>
    </w:p>
    <w:p w:rsidRPr="00C3218E" w:rsidR="00F17EEF" w:rsidP="0005733C" w:rsidRDefault="00000000" w14:paraId="6396B499"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Comment les produits, les canaux de distribution et les offres d’accompagnement devraient-ils être adaptés aux flux de trésorerie, aux stades de croissance et aux caractéristiques agroécologiques des AAE ?</w:t>
      </w:r>
    </w:p>
    <w:p w:rsidRPr="00C3218E" w:rsidR="0005733C" w:rsidP="00167CD5" w:rsidRDefault="0005733C" w14:paraId="279B4A12" w14:textId="77777777">
      <w:pPr>
        <w:pStyle w:val="ListBullet"/>
        <w:keepLines/>
        <w:numPr>
          <w:ilvl w:val="0"/>
          <w:numId w:val="0"/>
        </w:numPr>
        <w:spacing w:after="60" w:line="252" w:lineRule="auto"/>
        <w:ind w:start="360"/>
        <w:jc w:val="both"/>
        <w:rPr>
          <w:rFonts w:ascii="Calibri Light" w:hAnsi="Calibri Light" w:cs="Calibri Light"/>
          <w:sz w:val="22"/>
        </w:rPr>
      </w:pPr>
    </w:p>
    <w:p w:rsidRPr="00C3218E" w:rsidR="002E29D8" w:rsidRDefault="00000000" w14:paraId="0B754B04" w14:textId="77777777">
      <w:pPr>
        <w:pStyle w:val="Heading1"/>
        <w:rPr>
          <w:rFonts w:ascii="Calibri Light" w:hAnsi="Calibri Light" w:cs="Calibri Light"/>
          <w:sz w:val="22"/>
          <w:szCs w:val="22"/>
        </w:rPr>
      </w:pPr>
      <w:r w:rsidRPr="00C3218E">
        <w:rPr>
          <w:rFonts w:ascii="Calibri Light" w:hAnsi="Calibri Light" w:cs="Calibri Light"/>
          <w:sz w:val="22"/>
          <w:szCs w:val="22"/>
        </w:rPr>
        <w:t xml:space="preserve">8. Méthodologie proposée</w:t>
      </w:r>
    </w:p>
    <w:p w:rsidRPr="00C3218E" w:rsidR="00F17EEF" w:rsidP="0005733C" w:rsidRDefault="00000000" w14:paraId="2DCB8DF4" w14:textId="77777777">
      <w:pPr>
        <w:keepLines/>
        <w:jc w:val="both"/>
        <w:rPr>
          <w:rFonts w:ascii="Calibri Light" w:hAnsi="Calibri Light" w:cs="Calibri Light"/>
          <w:sz w:val="22"/>
        </w:rPr>
      </w:pPr>
      <w:r w:rsidRPr="00C3218E">
        <w:rPr>
          <w:rFonts w:ascii="Calibri Light" w:hAnsi="Calibri Light" w:cs="Calibri Light"/>
          <w:sz w:val="22"/>
        </w:rPr>
        <w:t xml:space="preserve">Le consultant proposera une approche rigoureuse, combinant des méthodes mixtes et une conception participative, qui associera une recherche documentaire, une enquête auprès des prestataires et des données directes issues des AAE. Un cadre commun doit permettre la comparaison entre les six pays, tout en laissant aux équipes nationales la possibilité d’adapter le langage, la terminologie et les listes de répondants aux conditions locales. Au minimum, la méthodologie devrait inclure :</w:t>
      </w:r>
    </w:p>
    <w:p w:rsidRPr="00C3218E" w:rsidR="00F17EEF" w:rsidP="0005733C" w:rsidRDefault="00000000" w14:paraId="751197A3"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Lancement et élaboration du cadre : examiner les documents relatifs aux programmes et les profils des pays ; valider les définitions, l’échantillonnage, les catégories de services, les indicateurs, les outils, les principes éthiques et un modèle commun de base de données des prestataires.</w:t>
      </w:r>
    </w:p>
    <w:p w:rsidRPr="00C3218E" w:rsidR="00F17EEF" w:rsidP="0005733C" w:rsidRDefault="00000000" w14:paraId="3EF34BCA"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Analyse documentaire et présélection des prestataires : examiner les annuaires des autorités de régulation et des associations, les programmes gouvernementaux, les rapports du secteur financier, les plateformes de finance numérique, les mécanismes de financement et les acteurs pertinents du marché.</w:t>
      </w:r>
    </w:p>
    <w:p w:rsidRPr="00C3218E" w:rsidR="00F17EEF" w:rsidP="0005733C" w:rsidRDefault="00000000" w14:paraId="16AF5CBA"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Enquête et consultations auprès des AAE : mener une enquête auprès d’un échantillon structuré d’AAE sélectionnés et organiser des groupes de discussion sur la demande, l’utilisation, les obstacles, les flux de trésorerie saisonniers, les formats préférés et les besoins en matière d’amélioration des revenus.</w:t>
      </w:r>
    </w:p>
    <w:p w:rsidRPr="00C3218E" w:rsidR="00F17EEF" w:rsidP="0005733C" w:rsidRDefault="00000000" w14:paraId="608504F7"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Entretiens avec des informateurs clés : </w:t>
      </w:r>
      <w:r w:rsidRPr="00C3218E">
        <w:rPr>
          <w:rFonts w:ascii="Calibri Light" w:hAnsi="Calibri Light" w:cs="Calibri Light"/>
          <w:sz w:val="22"/>
        </w:rPr>
        <w:t xml:space="preserve">consulter </w:t>
      </w:r>
      <w:r w:rsidRPr="00C3218E">
        <w:rPr>
          <w:rFonts w:ascii="Calibri Light" w:hAnsi="Calibri Light" w:cs="Calibri Light"/>
          <w:sz w:val="22"/>
        </w:rPr>
        <w:t xml:space="preserve">les prestataires, les régulateurs, les organismes publics, les responsables des plateformes nationales d’AAE, les acheteurs, les investisseurs et les acteurs du soutien aux entreprises.</w:t>
      </w:r>
    </w:p>
    <w:p w:rsidRPr="00C3218E" w:rsidR="00F17EEF" w:rsidP="0005733C" w:rsidRDefault="00000000" w14:paraId="6A1C56D0"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Évaluation et validation des services : évaluer les services en fonction de leur pertinence, de leur accessibilité, de leur abordabilité, de leur flexibilité, de leur caractère inclusif, de leur portée et de leur contribution potentielle aux revenus, puis valider les conclusions préliminaires auprès des AAE et des prestataires.</w:t>
      </w:r>
    </w:p>
    <w:p w:rsidRPr="00C3218E" w:rsidR="00F17EEF" w:rsidP="0005733C" w:rsidRDefault="00000000" w14:paraId="5C3B56A8"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Synthèse et élaboration de recommandations : établir des profils par pays, réaliser une analyse comparative et formuler des recommandations classées par ordre de priorité, en distinguant les opportunités immédiates d’orientation, les possibilités de partenariat ou de projets pilotes, et les changements à long terme en matière de politique ou de conception de produits.</w:t>
      </w:r>
    </w:p>
    <w:p w:rsidRPr="00C3218E" w:rsidR="002E29D8" w:rsidRDefault="00000000" w14:paraId="6B7856DA" w14:textId="77777777">
      <w:pPr>
        <w:pStyle w:val="Heading1"/>
        <w:rPr>
          <w:rFonts w:ascii="Calibri Light" w:hAnsi="Calibri Light" w:cs="Calibri Light"/>
          <w:sz w:val="22"/>
          <w:szCs w:val="22"/>
        </w:rPr>
      </w:pPr>
      <w:r w:rsidRPr="00C3218E">
        <w:rPr>
          <w:rFonts w:ascii="Calibri Light" w:hAnsi="Calibri Light" w:cs="Calibri Light"/>
          <w:sz w:val="22"/>
          <w:szCs w:val="22"/>
        </w:rPr>
        <w:t xml:space="preserve">9. Gestion et coordination de l’étude</w:t>
      </w:r>
    </w:p>
    <w:p w:rsidRPr="00C3218E" w:rsidR="00F17EEF" w:rsidP="0005733C" w:rsidRDefault="00000000" w14:paraId="02A8D1A6"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La mission peut être confiée à un cabinet de conseil qualifié ou à un consultant indépendant à la tête d’une équipe pluridisciplinaire.</w:t>
      </w:r>
    </w:p>
    <w:p w:rsidRPr="00C3218E" w:rsidR="00F17EEF" w:rsidP="0005733C" w:rsidRDefault="00000000" w14:paraId="217F88E0"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Le chef d’équipe coordonnera l’ensemble des travaux au niveau national, veillera à la cohérence méthodologique, respectera les délais et assumera la responsabilité de la qualité et de la finalisation de tous les livrables.</w:t>
      </w:r>
    </w:p>
    <w:p w:rsidRPr="00C3218E" w:rsidR="00F17EEF" w:rsidP="0005733C" w:rsidRDefault="00000000" w14:paraId="34B2BC5D"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L’AFSA assurera la coordination générale et l’assurance qualité par le biais de son programme AAE/TM et de son soutien au suivi et à l’apprentissage. Les plateformes nationales AAE et les partenaires nationaux apporteront leur soutien à l’identification des répondants, à la communication en langue locale, à la validation et à la diffusion.</w:t>
      </w:r>
    </w:p>
    <w:p w:rsidRPr="00C3218E" w:rsidR="00F17EEF" w:rsidP="0005733C" w:rsidRDefault="00000000" w14:paraId="47F11519"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Le consultant restera responsable de l’analyse indépendante, de la vérification directe des informations fournies par les prestataires et de la protection des données des personnes interrogées.</w:t>
      </w:r>
    </w:p>
    <w:p w:rsidRPr="00C3218E" w:rsidR="00F17EEF" w:rsidP="0005733C" w:rsidRDefault="00000000" w14:paraId="06C34DB5"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La maîtrise du français est requise pour le Sénégal et le Togo, et un soutien approprié en langue locale doit être mis en place dans tous les pays.</w:t>
      </w:r>
    </w:p>
    <w:p w:rsidRPr="00C3218E" w:rsidR="002E29D8" w:rsidRDefault="00000000" w14:paraId="0D88C245" w14:textId="77777777">
      <w:pPr>
        <w:pStyle w:val="Heading1"/>
        <w:rPr>
          <w:rFonts w:ascii="Calibri Light" w:hAnsi="Calibri Light" w:cs="Calibri Light"/>
          <w:sz w:val="22"/>
          <w:szCs w:val="22"/>
        </w:rPr>
      </w:pPr>
      <w:r w:rsidRPr="00C3218E">
        <w:rPr>
          <w:rFonts w:ascii="Calibri Light" w:hAnsi="Calibri Light" w:cs="Calibri Light"/>
          <w:sz w:val="22"/>
          <w:szCs w:val="22"/>
        </w:rPr>
        <w:t xml:space="preserve">10. Qualifications du consultant et compétences de l’équipe</w:t>
      </w:r>
    </w:p>
    <w:p w:rsidRPr="00C3218E" w:rsidR="002E29D8" w:rsidRDefault="00000000" w14:paraId="5291764E" w14:textId="77777777">
      <w:pPr>
        <w:pStyle w:val="Heading2"/>
        <w:rPr>
          <w:rFonts w:ascii="Calibri Light" w:hAnsi="Calibri Light" w:cs="Calibri Light"/>
          <w:sz w:val="22"/>
          <w:szCs w:val="22"/>
        </w:rPr>
      </w:pPr>
      <w:r w:rsidRPr="00C3218E">
        <w:rPr>
          <w:rFonts w:ascii="Calibri Light" w:hAnsi="Calibri Light" w:cs="Calibri Light"/>
          <w:sz w:val="22"/>
          <w:szCs w:val="22"/>
        </w:rPr>
        <w:t xml:space="preserve">10.1 Chef d’équipe / Consultant principal</w:t>
      </w:r>
    </w:p>
    <w:p w:rsidRPr="00C3218E" w:rsidR="00F17EEF" w:rsidP="0005733C" w:rsidRDefault="00000000" w14:paraId="317472BE"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Un diplôme de troisième cycle en finance, économie, économie agricole, finance du développement, administration des affaires, études du développement ou dans un domaine étroitement lié.</w:t>
      </w:r>
    </w:p>
    <w:p w:rsidRPr="00C3218E" w:rsidR="00F17EEF" w:rsidP="0005733C" w:rsidRDefault="00000000" w14:paraId="5B62A5C8"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Au moins dix ans d’expérience professionnelle pertinente, y compris la direction de missions complexes de recherche ou de conseil dans les domaines de la finance inclusive, de la finance agricole ou d’entreprise, des systèmes de marché ou du développement du secteur financier.</w:t>
      </w:r>
    </w:p>
    <w:p w:rsidRPr="00C3218E" w:rsidR="00F17EEF" w:rsidP="0005733C" w:rsidRDefault="00000000" w14:paraId="727EE3C9"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lastRenderedPageBreak/>
      </w:r>
      <w:r w:rsidRPr="00C3218E">
        <w:rPr>
          <w:rFonts w:ascii="Calibri Light" w:hAnsi="Calibri Light" w:cs="Calibri Light"/>
          <w:sz w:val="22"/>
        </w:rPr>
        <w:t xml:space="preserve">Expérience avérée dans la gestion d’études multinationales et de recherches utilisant des méthodes mixtes, notamment l’échantillonnage, les enquêtes, les entretiens, les groupes de discussion et l’analyse comparative.</w:t>
      </w:r>
    </w:p>
    <w:p w:rsidRPr="00C3218E" w:rsidR="00F17EEF" w:rsidP="0005733C" w:rsidRDefault="00000000" w14:paraId="08F59913"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Solide connaissance des écosystèmes des services financiers en Afrique et des contraintes de financement des micro, petites et moyennes entreprises, en particulier celles du secteur agricole ou du système alimentaire.</w:t>
      </w:r>
    </w:p>
    <w:p w:rsidRPr="00C3218E" w:rsidR="00F17EEF" w:rsidP="0005733C" w:rsidRDefault="00000000" w14:paraId="50FE158A"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Capacité avérée à traduire les résultats de la recherche en produits concrets, en partenariats avec des prestataires, en outils d’orientation, en recommandations de produits ou en décisions relatives aux politiques et aux programmes.</w:t>
      </w:r>
    </w:p>
    <w:p w:rsidRPr="00C3218E" w:rsidR="00F17EEF" w:rsidP="0005733C" w:rsidRDefault="00000000" w14:paraId="3E8D2C58"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Excellentes compétences en rédaction de rapports, en animation et en présentation en anglais.</w:t>
      </w:r>
    </w:p>
    <w:p w:rsidRPr="00C3218E" w:rsidR="00F17EEF" w:rsidP="0005733C" w:rsidRDefault="00F17EEF" w14:paraId="48EB044F" w14:textId="77777777">
      <w:pPr>
        <w:pStyle w:val="Heading2"/>
        <w:jc w:val="both"/>
        <w:rPr>
          <w:rFonts w:ascii="Calibri Light" w:hAnsi="Calibri Light" w:cs="Calibri Light"/>
          <w:sz w:val="22"/>
          <w:szCs w:val="22"/>
        </w:rPr>
      </w:pPr>
    </w:p>
    <w:p w:rsidRPr="00C3218E" w:rsidR="002E29D8" w:rsidRDefault="00000000" w14:paraId="7B112A74" w14:textId="77777777">
      <w:pPr>
        <w:pStyle w:val="Heading2"/>
        <w:rPr>
          <w:rFonts w:ascii="Calibri Light" w:hAnsi="Calibri Light" w:cs="Calibri Light"/>
          <w:sz w:val="22"/>
          <w:szCs w:val="22"/>
        </w:rPr>
      </w:pPr>
      <w:r w:rsidRPr="00C3218E">
        <w:rPr>
          <w:rFonts w:ascii="Calibri Light" w:hAnsi="Calibri Light" w:cs="Calibri Light"/>
          <w:sz w:val="22"/>
          <w:szCs w:val="22"/>
        </w:rPr>
        <w:t xml:space="preserve">10.2 Compétences collectives de l’équipe</w:t>
      </w:r>
    </w:p>
    <w:p w:rsidRPr="00C3218E" w:rsidR="00F17EEF" w:rsidP="0005733C" w:rsidRDefault="00000000" w14:paraId="5C96A996" w14:textId="77777777">
      <w:pPr>
        <w:keepLines/>
        <w:jc w:val="both"/>
        <w:rPr>
          <w:rFonts w:ascii="Calibri Light" w:hAnsi="Calibri Light" w:cs="Calibri Light"/>
          <w:b/>
          <w:bCs/>
          <w:sz w:val="22"/>
        </w:rPr>
      </w:pPr>
      <w:r w:rsidRPr="00C3218E">
        <w:rPr>
          <w:rFonts w:ascii="Calibri Light" w:hAnsi="Calibri Light" w:cs="Calibri Light"/>
          <w:b/>
          <w:bCs/>
          <w:sz w:val="22"/>
        </w:rPr>
        <w:t xml:space="preserve">L’équipe proposée doit démontrer collectivement ses compétences dans les domaines suivants :</w:t>
      </w:r>
    </w:p>
    <w:p w:rsidRPr="00C3218E" w:rsidR="00F17EEF" w:rsidP="0005733C" w:rsidRDefault="00000000" w14:paraId="1AF4CCAA"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Finance inclusive, finance agricole et d’entreprise, conception de produits et mécanismes de partage des risques.</w:t>
      </w:r>
    </w:p>
    <w:p w:rsidRPr="00C3218E" w:rsidR="00F17EEF" w:rsidP="0005733C" w:rsidRDefault="00000000" w14:paraId="3C5C622F"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L’agroécologie, les systèmes alimentaires, les marchés territoriaux et le développement des entreprises.</w:t>
      </w:r>
    </w:p>
    <w:p w:rsidRPr="00C3218E" w:rsidR="00F17EEF" w:rsidP="0005733C" w:rsidRDefault="00000000" w14:paraId="3F2F8967"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Recherche quantitative et qualitative, développement de bases de données et visualisation des données.</w:t>
      </w:r>
    </w:p>
    <w:p w:rsidRPr="00C3218E" w:rsidR="00F17EEF" w:rsidP="0005733C" w:rsidRDefault="00000000" w14:paraId="1DB71694"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L’inclusion des femmes et des jeunes, ainsi que l’analyse des entreprises rurales, informelles et en phase de démarrage.</w:t>
      </w:r>
    </w:p>
    <w:p w:rsidRPr="00C3218E" w:rsidR="00F17EEF" w:rsidP="0005733C" w:rsidRDefault="00000000" w14:paraId="13E9DD4C"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Connaissance du secteur financier au niveau national et réseaux de parties prenantes dans les six pays concernés.</w:t>
      </w:r>
    </w:p>
    <w:p w:rsidRPr="00C3218E" w:rsidR="00F17EEF" w:rsidP="0005733C" w:rsidRDefault="00000000" w14:paraId="0DDB6290"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Recherche et rédaction en anglais et en français, ainsi que maîtrise de la langue locale si nécessaire.</w:t>
      </w:r>
    </w:p>
    <w:p w:rsidRPr="00C3218E" w:rsidR="00F17EEF" w:rsidP="0005733C" w:rsidRDefault="00000000" w14:paraId="3460D966"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Protection des données, éthique de la recherche et vérification des informations relatives aux fournisseurs et aux produits.</w:t>
      </w:r>
    </w:p>
    <w:p w:rsidRPr="00C3218E" w:rsidR="002E29D8" w:rsidRDefault="00000000" w14:paraId="0280E28B" w14:textId="77777777">
      <w:pPr>
        <w:pStyle w:val="Heading1"/>
        <w:rPr>
          <w:rFonts w:ascii="Calibri Light" w:hAnsi="Calibri Light" w:cs="Calibri Light"/>
          <w:sz w:val="22"/>
          <w:szCs w:val="22"/>
        </w:rPr>
      </w:pPr>
      <w:r w:rsidRPr="00C3218E">
        <w:rPr>
          <w:rFonts w:ascii="Calibri Light" w:hAnsi="Calibri Light" w:cs="Calibri Light"/>
          <w:sz w:val="22"/>
          <w:szCs w:val="22"/>
        </w:rPr>
        <w:t xml:space="preserve">11. Tâches et responsabilités principales</w:t>
      </w:r>
    </w:p>
    <w:p w:rsidRPr="00C3218E" w:rsidR="00F17EEF" w:rsidP="0005733C" w:rsidRDefault="00000000" w14:paraId="257FA2B9"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Organiser une réunion de lancement avec l’AFSA et affiner la conception de l’étude, les définitions, la matrice de recherche, la stratégie d’échantillonnage, le plan de travail et le calendrier des livrables.</w:t>
      </w:r>
    </w:p>
    <w:p w:rsidRPr="00C3218E" w:rsidR="00F17EEF" w:rsidP="0005733C" w:rsidRDefault="00000000" w14:paraId="2C925DD7"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Examiner les documents pertinents relatifs aux programmes de l’AFSA, les informations nationales sur le secteur financier, les documents politiques et réglementaires, les répertoires de prestataires et les recherches existantes.</w:t>
      </w:r>
    </w:p>
    <w:p w:rsidRPr="00C3218E" w:rsidR="00F17EEF" w:rsidP="0005733C" w:rsidRDefault="00000000" w14:paraId="0626C84B"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Élaborer et tester au préalable des outils communs de collecte de données, des procédures de consentement, des critères d’évaluation des services et un modèle de base de données actualisable sur les prestataires.</w:t>
      </w:r>
    </w:p>
    <w:p w:rsidRPr="00C3218E" w:rsidR="00F17EEF" w:rsidP="0005733C" w:rsidRDefault="00000000" w14:paraId="18DE87CA"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Recruter, former et superviser les chercheurs nationaux et veiller à ce que la collecte de données soit cohérente et tienne compte des questions de genre et des besoins des jeunes dans les six pays.</w:t>
      </w:r>
    </w:p>
    <w:p w:rsidRPr="00C3218E" w:rsidR="00F17EEF" w:rsidP="0005733C" w:rsidRDefault="00000000" w14:paraId="2C0C201C"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Recenser et présélectionner les prestataires et les acteurs de soutien à l’amélioration des revenus, mener des entretiens et vérifier les détails des produits directement auprès des prestataires.</w:t>
      </w:r>
    </w:p>
    <w:p w:rsidRPr="00C3218E" w:rsidR="00F17EEF" w:rsidP="0005733C" w:rsidRDefault="00000000" w14:paraId="68388FD6"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Mener une enquête et consulter un échantillon diversifié d’entreprises d’économie alternative (AAE), y compris celles dirigées par des femmes et des jeunes, et documenter leur utilisation, leur expérience, les obstacles rencontrés et les besoins non satisfaits.</w:t>
      </w:r>
    </w:p>
    <w:p w:rsidRPr="00C3218E" w:rsidR="00F17EEF" w:rsidP="0005733C" w:rsidRDefault="00000000" w14:paraId="5CF2F163"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Analyser l’accessibilité et la pertinence des services, en distinguant les conditions des produits annoncées de l’expérience réelle des AAE.</w:t>
      </w:r>
    </w:p>
    <w:p w:rsidRPr="00C3218E" w:rsidR="00F17EEF" w:rsidP="0005733C" w:rsidRDefault="00000000" w14:paraId="6F234B56"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Rédiger six profils nationaux, une synthèse transnationale, un guide d’accès aux AAE ainsi qu’une note d’orientation sur la conception des services et les partenariats à l’intention des prestataires.</w:t>
      </w:r>
    </w:p>
    <w:p w:rsidRPr="00C3218E" w:rsidR="00F17EEF" w:rsidP="0005733C" w:rsidRDefault="00000000" w14:paraId="380E236B"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Animer six sessions nationales de validation et une session transnationale de diffusion et d’apprentissage.</w:t>
      </w:r>
    </w:p>
    <w:p w:rsidRPr="00C3218E" w:rsidR="00F17EEF" w:rsidP="0005733C" w:rsidRDefault="00000000" w14:paraId="11719F68"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Intégrer les retours d’expérience, remettre les produits finaux finalisés et transférer </w:t>
      </w:r>
      <w:r w:rsidRPr="00C3218E">
        <w:rPr>
          <w:rFonts w:ascii="Calibri Light" w:hAnsi="Calibri Light" w:cs="Calibri Light"/>
          <w:sz w:val="22"/>
        </w:rPr>
        <w:t xml:space="preserve">à l’AFSA </w:t>
      </w:r>
      <w:r w:rsidRPr="00C3218E">
        <w:rPr>
          <w:rFonts w:ascii="Calibri Light" w:hAnsi="Calibri Light" w:cs="Calibri Light"/>
          <w:sz w:val="22"/>
        </w:rPr>
        <w:t xml:space="preserve">la base de données complète, les outils de recherche et </w:t>
      </w:r>
      <w:r w:rsidRPr="00C3218E">
        <w:rPr>
          <w:rFonts w:ascii="Calibri Light" w:hAnsi="Calibri Light" w:cs="Calibri Light"/>
          <w:sz w:val="22"/>
        </w:rPr>
        <w:t xml:space="preserve">la documentation </w:t>
      </w:r>
      <w:r w:rsidRPr="00C3218E">
        <w:rPr>
          <w:rFonts w:ascii="Calibri Light" w:hAnsi="Calibri Light" w:cs="Calibri Light"/>
          <w:sz w:val="22"/>
        </w:rPr>
        <w:t xml:space="preserve">d’accompagnement</w:t>
      </w:r>
      <w:r w:rsidRPr="00C3218E">
        <w:rPr>
          <w:rFonts w:ascii="Calibri Light" w:hAnsi="Calibri Light" w:cs="Calibri Light"/>
          <w:sz w:val="22"/>
        </w:rPr>
        <w:t xml:space="preserve">.</w:t>
      </w:r>
    </w:p>
    <w:p w:rsidRPr="00C3218E" w:rsidR="00F17EEF" w:rsidP="0005733C" w:rsidRDefault="00F17EEF" w14:paraId="4EFD22F6" w14:textId="77777777">
      <w:pPr>
        <w:pStyle w:val="Heading1"/>
        <w:jc w:val="both"/>
        <w:rPr>
          <w:rFonts w:ascii="Calibri Light" w:hAnsi="Calibri Light" w:cs="Calibri Light"/>
          <w:sz w:val="22"/>
          <w:szCs w:val="22"/>
        </w:rPr>
      </w:pPr>
      <w:r w:rsidRPr="00C3218E">
        <w:rPr>
          <w:rFonts w:ascii="Calibri Light" w:hAnsi="Calibri Light" w:cs="Calibri Light"/>
          <w:sz w:val="22"/>
          <w:szCs w:val="22"/>
        </w:rPr>
        <w:t xml:space="preserve">12. Résultats attendus et livrables</w:t>
      </w:r>
    </w:p>
    <w:tbl>
      <w:tblPr>
        <w:tblStyle w:val="TableGrid"/>
        <w:tblW w:w="0" w:type="auto"/>
        <w:jc w:val="center"/>
        <w:tblLayout w:type="fixed"/>
        <w:tblLook w:val="04a0"/>
      </w:tblPr>
      <w:tblGrid>
        <w:gridCol w:w="2232"/>
        <w:gridCol w:w="5976"/>
      </w:tblGrid>
      <w:tr w:rsidRPr="00C3218E" w:rsidR="00167CD5" w:rsidTr="00EB503F" w14:paraId="2C6AF654" w14:textId="77777777">
        <w:trPr>
          <w:cantSplit/>
          <w:tblHeader/>
          <w:jc w:val="center"/>
        </w:trPr>
        <w:tc>
          <w:tcPr>
            <w:tcW w:w="2232" w:type="dxa"/>
            <w:shd w:val="clear" w:color="auto" w:fill="981C4F"/>
            <w:tcMar>
              <w:top w:w="90" w:type="dxa"/>
              <w:left w:w="120" w:type="dxa"/>
              <w:bottom w:w="90" w:type="dxa"/>
              <w:right w:w="120" w:type="dxa"/>
            </w:tcMar>
            <w:vAlign w:val="center"/>
          </w:tcPr>
          <w:p w:rsidRPr="00C3218E" w:rsidR="00167CD5" w:rsidP="0005733C" w:rsidRDefault="00167CD5" w14:paraId="60330A76" w14:textId="77777777">
            <w:pPr>
              <w:jc w:val="both"/>
              <w:rPr>
                <w:rFonts w:ascii="Calibri Light" w:hAnsi="Calibri Light" w:cs="Calibri Light"/>
                <w:sz w:val="22"/>
              </w:rPr>
            </w:pPr>
            <w:r w:rsidRPr="00C3218E">
              <w:rPr>
                <w:rFonts w:ascii="Calibri Light" w:hAnsi="Calibri Light" w:cs="Calibri Light"/>
                <w:b/>
                <w:color w:val="FFFFFF"/>
                <w:sz w:val="22"/>
              </w:rPr>
              <w:t xml:space="preserve">Livrable</w:t>
            </w:r>
          </w:p>
        </w:tc>
        <w:tc>
          <w:tcPr>
            <w:tcW w:w="5976" w:type="dxa"/>
            <w:shd w:val="clear" w:color="auto" w:fill="981C4F"/>
            <w:tcMar>
              <w:top w:w="90" w:type="dxa"/>
              <w:left w:w="120" w:type="dxa"/>
              <w:bottom w:w="90" w:type="dxa"/>
              <w:right w:w="120" w:type="dxa"/>
            </w:tcMar>
            <w:vAlign w:val="center"/>
          </w:tcPr>
          <w:p w:rsidRPr="00C3218E" w:rsidR="00167CD5" w:rsidP="0005733C" w:rsidRDefault="00167CD5" w14:paraId="21253B91" w14:textId="77777777">
            <w:pPr>
              <w:jc w:val="both"/>
              <w:rPr>
                <w:rFonts w:ascii="Calibri Light" w:hAnsi="Calibri Light" w:cs="Calibri Light"/>
                <w:sz w:val="22"/>
              </w:rPr>
            </w:pPr>
            <w:r w:rsidRPr="00C3218E">
              <w:rPr>
                <w:rFonts w:ascii="Calibri Light" w:hAnsi="Calibri Light" w:cs="Calibri Light"/>
                <w:b/>
                <w:color w:val="FFFFFF"/>
                <w:sz w:val="22"/>
              </w:rPr>
              <w:t xml:space="preserve">Contenu minimum</w:t>
            </w:r>
          </w:p>
        </w:tc>
      </w:tr>
      <w:tr w:rsidRPr="00C3218E" w:rsidR="00167CD5" w14:paraId="2058497E" w14:textId="77777777">
        <w:trPr>
          <w:cantSplit/>
          <w:jc w:val="center"/>
        </w:trPr>
        <w:tc>
          <w:tcPr>
            <w:tcW w:w="2232" w:type="dxa"/>
            <w:tcMar>
              <w:top w:w="90" w:type="dxa"/>
              <w:left w:w="120" w:type="dxa"/>
              <w:bottom w:w="90" w:type="dxa"/>
              <w:right w:w="120" w:type="dxa"/>
            </w:tcMar>
            <w:vAlign w:val="center"/>
          </w:tcPr>
          <w:p w:rsidRPr="00C3218E" w:rsidR="00167CD5" w:rsidP="0005733C" w:rsidRDefault="00167CD5" w14:paraId="1E78C764"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1. Rapport de lancement</w:t>
            </w:r>
          </w:p>
        </w:tc>
        <w:tc>
          <w:tcPr>
            <w:tcW w:w="5976" w:type="dxa"/>
            <w:tcMar>
              <w:top w:w="90" w:type="dxa"/>
              <w:left w:w="120" w:type="dxa"/>
              <w:bottom w:w="90" w:type="dxa"/>
              <w:right w:w="120" w:type="dxa"/>
            </w:tcMar>
            <w:vAlign w:val="center"/>
          </w:tcPr>
          <w:p w:rsidRPr="00C3218E" w:rsidR="00167CD5" w:rsidP="0005733C" w:rsidRDefault="00167CD5" w14:paraId="1A85F6C3"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Méthodologie affinée, définitions, matrice de recherche, stratégie d’échantillonnage, plan de travail, outils, charte éthique et plan de gestion des données.</w:t>
            </w:r>
          </w:p>
        </w:tc>
      </w:tr>
      <w:tr w:rsidRPr="00C3218E" w:rsidR="00167CD5" w14:paraId="5A71851A" w14:textId="77777777">
        <w:trPr>
          <w:cantSplit/>
          <w:jc w:val="center"/>
        </w:trPr>
        <w:tc>
          <w:tcPr>
            <w:tcW w:w="2232" w:type="dxa"/>
            <w:tcMar>
              <w:top w:w="90" w:type="dxa"/>
              <w:left w:w="120" w:type="dxa"/>
              <w:bottom w:w="90" w:type="dxa"/>
              <w:right w:w="120" w:type="dxa"/>
            </w:tcMar>
            <w:vAlign w:val="center"/>
          </w:tcPr>
          <w:p w:rsidRPr="00C3218E" w:rsidR="00167CD5" w:rsidP="0005733C" w:rsidRDefault="00167CD5" w14:paraId="76083884"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2. Listes préliminaires de prestataires et base de données</w:t>
            </w:r>
          </w:p>
        </w:tc>
        <w:tc>
          <w:tcPr>
            <w:tcW w:w="5976" w:type="dxa"/>
            <w:tcMar>
              <w:top w:w="90" w:type="dxa"/>
              <w:left w:w="120" w:type="dxa"/>
              <w:bottom w:w="90" w:type="dxa"/>
              <w:right w:w="120" w:type="dxa"/>
            </w:tcMar>
            <w:vAlign w:val="center"/>
          </w:tcPr>
          <w:p w:rsidRPr="00C3218E" w:rsidR="00167CD5" w:rsidP="0005733C" w:rsidRDefault="00167CD5" w14:paraId="346D26AD"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Listes préliminaires des prestataires par pays et modèle de base de données partagée opérationnelle contenant des informations préliminaires.</w:t>
            </w:r>
          </w:p>
        </w:tc>
      </w:tr>
      <w:tr w:rsidRPr="00C3218E" w:rsidR="00167CD5" w14:paraId="759D78DC" w14:textId="77777777">
        <w:trPr>
          <w:cantSplit/>
          <w:jc w:val="center"/>
        </w:trPr>
        <w:tc>
          <w:tcPr>
            <w:tcW w:w="2232" w:type="dxa"/>
            <w:tcMar>
              <w:top w:w="90" w:type="dxa"/>
              <w:left w:w="120" w:type="dxa"/>
              <w:bottom w:w="90" w:type="dxa"/>
              <w:right w:w="120" w:type="dxa"/>
            </w:tcMar>
            <w:vAlign w:val="center"/>
          </w:tcPr>
          <w:p w:rsidRPr="00C3218E" w:rsidR="00167CD5" w:rsidP="0005733C" w:rsidRDefault="00167CD5" w14:paraId="500C1082" w14:textId="77777777">
            <w:pPr>
              <w:spacing w:after="0" w:line="240" w:lineRule="auto"/>
              <w:jc w:val="both"/>
              <w:rPr>
                <w:rFonts w:ascii="Calibri Light" w:hAnsi="Calibri Light" w:cs="Calibri Light"/>
                <w:sz w:val="22"/>
              </w:rPr>
            </w:pPr>
            <w:r w:rsidRPr="00C3218E">
              <w:rPr>
                <w:rFonts w:ascii="Calibri Light" w:hAnsi="Calibri Light" w:cs="Calibri Light"/>
                <w:sz w:val="22"/>
              </w:rPr>
              <w:lastRenderedPageBreak/>
            </w:r>
            <w:r w:rsidRPr="00C3218E">
              <w:rPr>
                <w:rFonts w:ascii="Calibri Light" w:hAnsi="Calibri Light" w:cs="Calibri Light"/>
                <w:sz w:val="22"/>
              </w:rPr>
              <w:t xml:space="preserve">3. Dossier de fin de terrain</w:t>
            </w:r>
          </w:p>
        </w:tc>
        <w:tc>
          <w:tcPr>
            <w:tcW w:w="5976" w:type="dxa"/>
            <w:tcMar>
              <w:top w:w="90" w:type="dxa"/>
              <w:left w:w="120" w:type="dxa"/>
              <w:bottom w:w="90" w:type="dxa"/>
              <w:right w:w="120" w:type="dxa"/>
            </w:tcMar>
            <w:vAlign w:val="center"/>
          </w:tcPr>
          <w:p w:rsidRPr="00C3218E" w:rsidR="00167CD5" w:rsidP="0005733C" w:rsidRDefault="00167CD5" w14:paraId="79E231CD"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Données validées, résumés des entretiens et des groupes de discussion, rapport sur la couverture des personnes interrogées et base de données actualisée et vérifiée sur les services.</w:t>
            </w:r>
          </w:p>
        </w:tc>
      </w:tr>
      <w:tr w:rsidRPr="00C3218E" w:rsidR="00167CD5" w14:paraId="48504D2D" w14:textId="77777777">
        <w:trPr>
          <w:cantSplit/>
          <w:jc w:val="center"/>
        </w:trPr>
        <w:tc>
          <w:tcPr>
            <w:tcW w:w="2232" w:type="dxa"/>
            <w:tcMar>
              <w:top w:w="90" w:type="dxa"/>
              <w:left w:w="120" w:type="dxa"/>
              <w:bottom w:w="90" w:type="dxa"/>
              <w:right w:w="120" w:type="dxa"/>
            </w:tcMar>
            <w:vAlign w:val="center"/>
          </w:tcPr>
          <w:p w:rsidRPr="00C3218E" w:rsidR="00167CD5" w:rsidP="0005733C" w:rsidRDefault="00167CD5" w14:paraId="353285A3"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4. Projets de profils nationaux et de synthèse</w:t>
            </w:r>
          </w:p>
        </w:tc>
        <w:tc>
          <w:tcPr>
            <w:tcW w:w="5976" w:type="dxa"/>
            <w:tcMar>
              <w:top w:w="90" w:type="dxa"/>
              <w:left w:w="120" w:type="dxa"/>
              <w:bottom w:w="90" w:type="dxa"/>
              <w:right w:w="120" w:type="dxa"/>
            </w:tcMar>
            <w:vAlign w:val="center"/>
          </w:tcPr>
          <w:p w:rsidRPr="00C3218E" w:rsidR="00167CD5" w:rsidP="0005733C" w:rsidRDefault="00167CD5" w14:paraId="6E3D7F7A"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Six profils concis du paysage des services financiers par pays et un projet de rapport comparatif présentant les conclusions communes et spécifiques à chaque pays.</w:t>
            </w:r>
          </w:p>
        </w:tc>
      </w:tr>
      <w:tr w:rsidRPr="00C3218E" w:rsidR="00167CD5" w14:paraId="2003F6E1" w14:textId="77777777">
        <w:trPr>
          <w:cantSplit/>
          <w:jc w:val="center"/>
        </w:trPr>
        <w:tc>
          <w:tcPr>
            <w:tcW w:w="2232" w:type="dxa"/>
            <w:tcMar>
              <w:top w:w="90" w:type="dxa"/>
              <w:left w:w="120" w:type="dxa"/>
              <w:bottom w:w="90" w:type="dxa"/>
              <w:right w:w="120" w:type="dxa"/>
            </w:tcMar>
            <w:vAlign w:val="center"/>
          </w:tcPr>
          <w:p w:rsidRPr="00C3218E" w:rsidR="00167CD5" w:rsidP="0005733C" w:rsidRDefault="00167CD5" w14:paraId="4BAD99E1"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5. Supports de validation et de présentation</w:t>
            </w:r>
          </w:p>
        </w:tc>
        <w:tc>
          <w:tcPr>
            <w:tcW w:w="5976" w:type="dxa"/>
            <w:tcMar>
              <w:top w:w="90" w:type="dxa"/>
              <w:left w:w="120" w:type="dxa"/>
              <w:bottom w:w="90" w:type="dxa"/>
              <w:right w:w="120" w:type="dxa"/>
            </w:tcMar>
            <w:vAlign w:val="center"/>
          </w:tcPr>
          <w:p w:rsidRPr="00C3218E" w:rsidR="00167CD5" w:rsidP="0005733C" w:rsidRDefault="00167CD5" w14:paraId="5DF5211B"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Supports et présentations pour six sessions de validation nationales et une session d’apprentissage transnationale ; compte rendu consolidé des retours d’expérience.</w:t>
            </w:r>
          </w:p>
        </w:tc>
      </w:tr>
      <w:tr w:rsidRPr="00C3218E" w:rsidR="00167CD5" w14:paraId="10A0EF98" w14:textId="77777777">
        <w:trPr>
          <w:cantSplit/>
          <w:jc w:val="center"/>
        </w:trPr>
        <w:tc>
          <w:tcPr>
            <w:tcW w:w="2232" w:type="dxa"/>
            <w:tcMar>
              <w:top w:w="90" w:type="dxa"/>
              <w:left w:w="120" w:type="dxa"/>
              <w:bottom w:w="90" w:type="dxa"/>
              <w:right w:w="120" w:type="dxa"/>
            </w:tcMar>
            <w:vAlign w:val="center"/>
          </w:tcPr>
          <w:p w:rsidRPr="00C3218E" w:rsidR="00167CD5" w:rsidP="0005733C" w:rsidRDefault="00167CD5" w14:paraId="5322E90F"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6. Rapports finaux et outils pratiques</w:t>
            </w:r>
          </w:p>
        </w:tc>
        <w:tc>
          <w:tcPr>
            <w:tcW w:w="5976" w:type="dxa"/>
            <w:tcMar>
              <w:top w:w="90" w:type="dxa"/>
              <w:left w:w="120" w:type="dxa"/>
              <w:bottom w:w="90" w:type="dxa"/>
              <w:right w:w="120" w:type="dxa"/>
            </w:tcMar>
            <w:vAlign w:val="center"/>
          </w:tcPr>
          <w:p w:rsidRPr="00C3218E" w:rsidR="00167CD5" w:rsidP="0005733C" w:rsidRDefault="00167CD5" w14:paraId="7D53BDAF"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Base de données finale couvrant les six pays ; six profils nationaux ; rapport de synthèse comparatif ; guide d’accès simple à l’AAE et parcours d’orientation ; et note d’information sur la conception des services financiers et les partenariats, accompagnée de </w:t>
            </w:r>
            <w:r w:rsidRPr="00C3218E">
              <w:rPr>
                <w:rFonts w:ascii="Calibri Light" w:hAnsi="Calibri Light" w:cs="Calibri Light"/>
                <w:sz w:val="22"/>
              </w:rPr>
              <w:t xml:space="preserve">recommandations </w:t>
            </w:r>
            <w:r w:rsidRPr="00C3218E">
              <w:rPr>
                <w:rFonts w:ascii="Calibri Light" w:hAnsi="Calibri Light" w:cs="Calibri Light"/>
                <w:sz w:val="22"/>
              </w:rPr>
              <w:t xml:space="preserve">classées par ordre de priorité</w:t>
            </w:r>
            <w:r w:rsidRPr="00C3218E">
              <w:rPr>
                <w:rFonts w:ascii="Calibri Light" w:hAnsi="Calibri Light" w:cs="Calibri Light"/>
                <w:sz w:val="22"/>
              </w:rPr>
              <w:t xml:space="preserve">.</w:t>
            </w:r>
          </w:p>
        </w:tc>
      </w:tr>
    </w:tbl>
    <w:p w:rsidRPr="00C3218E" w:rsidR="00F17EEF" w:rsidP="0005733C" w:rsidRDefault="00F17EEF" w14:paraId="09144801" w14:textId="77777777">
      <w:pPr>
        <w:spacing w:after="0"/>
        <w:jc w:val="both"/>
        <w:rPr>
          <w:rFonts w:ascii="Calibri Light" w:hAnsi="Calibri Light" w:cs="Calibri Light"/>
          <w:sz w:val="22"/>
        </w:rPr>
      </w:pPr>
    </w:p>
    <w:p w:rsidRPr="00C3218E" w:rsidR="002E29D8" w:rsidRDefault="00000000" w14:paraId="6A1B012A" w14:textId="77777777">
      <w:pPr>
        <w:pStyle w:val="Heading1"/>
        <w:rPr>
          <w:rFonts w:ascii="Calibri Light" w:hAnsi="Calibri Light" w:cs="Calibri Light"/>
          <w:sz w:val="22"/>
          <w:szCs w:val="22"/>
        </w:rPr>
      </w:pPr>
      <w:r w:rsidRPr="00C3218E">
        <w:rPr>
          <w:rFonts w:ascii="Calibri Light" w:hAnsi="Calibri Light" w:cs="Calibri Light"/>
          <w:sz w:val="22"/>
          <w:szCs w:val="22"/>
        </w:rPr>
        <w:t xml:space="preserve">13. Rapports, langues et formats de fichiers</w:t>
      </w:r>
    </w:p>
    <w:p w:rsidRPr="00C3218E" w:rsidR="00F17EEF" w:rsidP="0005733C" w:rsidRDefault="00000000" w14:paraId="290887F1" w14:textId="77777777">
      <w:pPr>
        <w:keepLines/>
        <w:jc w:val="both"/>
        <w:rPr>
          <w:rFonts w:ascii="Calibri Light" w:hAnsi="Calibri Light" w:cs="Calibri Light"/>
          <w:sz w:val="22"/>
        </w:rPr>
      </w:pPr>
      <w:r w:rsidRPr="00C3218E">
        <w:rPr>
          <w:rFonts w:ascii="Calibri Light" w:hAnsi="Calibri Light" w:cs="Calibri Light"/>
          <w:sz w:val="22"/>
        </w:rPr>
        <w:t xml:space="preserve">Tous les rapports et outils pratiques seront remis dans des formats modifiables Microsoft Word, Excel et PowerPoint, selon le cas, accompagnés de copies PDF «propres». La base de données doit être consultable, modifiable et comporter des champs clairs indiquant le responsable, la date de vérification et la date de mise à jour. L’anglais sera utilisé pour les produits transnationaux ; les versions françaises des livrables destinés aux utilisateurs au Sénégal et au Togo feront l’objet d’un accord lors de la phase de lancement.</w:t>
      </w:r>
    </w:p>
    <w:p w:rsidRPr="00C3218E" w:rsidR="002E29D8" w:rsidRDefault="00000000" w14:paraId="475400AB" w14:textId="77777777">
      <w:pPr>
        <w:pStyle w:val="Heading1"/>
        <w:rPr>
          <w:rFonts w:ascii="Calibri Light" w:hAnsi="Calibri Light" w:cs="Calibri Light"/>
          <w:sz w:val="22"/>
          <w:szCs w:val="22"/>
        </w:rPr>
      </w:pPr>
      <w:r w:rsidRPr="00C3218E">
        <w:rPr>
          <w:rFonts w:ascii="Calibri Light" w:hAnsi="Calibri Light" w:cs="Calibri Light"/>
          <w:sz w:val="22"/>
          <w:szCs w:val="22"/>
        </w:rPr>
        <w:t xml:space="preserve">14. Durée et plan de travail indicatif</w:t>
      </w:r>
    </w:p>
    <w:p w:rsidRPr="00C3218E" w:rsidR="00F17EEF" w:rsidP="0005733C" w:rsidRDefault="00000000" w14:paraId="7CAA6AF9" w14:textId="77777777">
      <w:pPr>
        <w:keepLines/>
        <w:jc w:val="both"/>
        <w:rPr>
          <w:rFonts w:ascii="Calibri Light" w:hAnsi="Calibri Light" w:cs="Calibri Light"/>
          <w:b/>
          <w:bCs/>
          <w:sz w:val="22"/>
        </w:rPr>
      </w:pPr>
      <w:r w:rsidRPr="00C3218E">
        <w:rPr>
          <w:rFonts w:ascii="Calibri Light" w:hAnsi="Calibri Light" w:cs="Calibri Light"/>
          <w:sz w:val="22"/>
        </w:rPr>
        <w:t xml:space="preserve">La mission d’expertise s’étendra sur quatre mois à compter de la </w:t>
      </w:r>
      <w:r w:rsidRPr="00C3218E">
        <w:rPr>
          <w:rFonts w:ascii="Calibri Light" w:hAnsi="Calibri Light" w:cs="Calibri Light"/>
          <w:sz w:val="22"/>
        </w:rPr>
        <w:t xml:space="preserve">date de début du contrat</w:t>
      </w:r>
      <w:r w:rsidRPr="00C3218E">
        <w:rPr>
          <w:rFonts w:ascii="Calibri Light" w:hAnsi="Calibri Light" w:cs="Calibri Light"/>
          <w:sz w:val="22"/>
        </w:rPr>
        <w:t xml:space="preserve">. Le calendrier proposé est indicatif et sera confirmé lors de la réunion de lancement.</w:t>
      </w:r>
    </w:p>
    <w:tbl>
      <w:tblPr>
        <w:tblStyle w:val="TableGrid"/>
        <w:tblW w:w="0" w:type="auto"/>
        <w:jc w:val="center"/>
        <w:tblLayout w:type="fixed"/>
        <w:tblLook w:val="04a0"/>
      </w:tblPr>
      <w:tblGrid>
        <w:gridCol w:w="2392"/>
        <w:gridCol w:w="6264"/>
      </w:tblGrid>
      <w:tr w:rsidRPr="00C3218E" w:rsidR="00167CD5" w:rsidTr="00167CD5" w14:paraId="6EF2E497" w14:textId="77777777">
        <w:trPr>
          <w:cantSplit/>
          <w:tblHeader/>
          <w:jc w:val="center"/>
        </w:trPr>
        <w:tc>
          <w:tcPr>
            <w:tcW w:w="2392" w:type="dxa"/>
            <w:shd w:val="clear" w:color="auto" w:fill="981C4F"/>
            <w:tcMar>
              <w:top w:w="90" w:type="dxa"/>
              <w:left w:w="120" w:type="dxa"/>
              <w:bottom w:w="90" w:type="dxa"/>
              <w:right w:w="120" w:type="dxa"/>
            </w:tcMar>
            <w:vAlign w:val="center"/>
          </w:tcPr>
          <w:p w:rsidRPr="00C3218E" w:rsidR="00167CD5" w:rsidP="0005733C" w:rsidRDefault="00167CD5" w14:paraId="30D6BDE8" w14:textId="77777777">
            <w:pPr>
              <w:jc w:val="both"/>
              <w:rPr>
                <w:rFonts w:ascii="Calibri Light" w:hAnsi="Calibri Light" w:cs="Calibri Light"/>
                <w:sz w:val="22"/>
              </w:rPr>
            </w:pPr>
            <w:r w:rsidRPr="00C3218E">
              <w:rPr>
                <w:rFonts w:ascii="Calibri Light" w:hAnsi="Calibri Light" w:cs="Calibri Light"/>
                <w:b/>
                <w:color w:val="FFFFFF"/>
                <w:sz w:val="22"/>
              </w:rPr>
              <w:t xml:space="preserve">Phase</w:t>
            </w:r>
          </w:p>
        </w:tc>
        <w:tc>
          <w:tcPr>
            <w:tcW w:w="6264" w:type="dxa"/>
            <w:shd w:val="clear" w:color="auto" w:fill="981C4F"/>
            <w:tcMar>
              <w:top w:w="90" w:type="dxa"/>
              <w:left w:w="120" w:type="dxa"/>
              <w:bottom w:w="90" w:type="dxa"/>
              <w:right w:w="120" w:type="dxa"/>
            </w:tcMar>
            <w:vAlign w:val="center"/>
          </w:tcPr>
          <w:p w:rsidRPr="00C3218E" w:rsidR="00167CD5" w:rsidP="0005733C" w:rsidRDefault="00167CD5" w14:paraId="3940330A" w14:textId="77777777">
            <w:pPr>
              <w:jc w:val="both"/>
              <w:rPr>
                <w:rFonts w:ascii="Calibri Light" w:hAnsi="Calibri Light" w:cs="Calibri Light"/>
                <w:sz w:val="22"/>
              </w:rPr>
            </w:pPr>
            <w:r w:rsidRPr="00C3218E">
              <w:rPr>
                <w:rFonts w:ascii="Calibri Light" w:hAnsi="Calibri Light" w:cs="Calibri Light"/>
                <w:b/>
                <w:color w:val="FFFFFF"/>
                <w:sz w:val="22"/>
              </w:rPr>
              <w:t xml:space="preserve">Principales activités et livrables</w:t>
            </w:r>
          </w:p>
        </w:tc>
      </w:tr>
      <w:tr w:rsidRPr="00C3218E" w:rsidR="00167CD5" w:rsidTr="00167CD5" w14:paraId="256D4110" w14:textId="77777777">
        <w:trPr>
          <w:cantSplit/>
          <w:jc w:val="center"/>
        </w:trPr>
        <w:tc>
          <w:tcPr>
            <w:tcW w:w="2392" w:type="dxa"/>
            <w:tcMar>
              <w:top w:w="90" w:type="dxa"/>
              <w:left w:w="120" w:type="dxa"/>
              <w:bottom w:w="90" w:type="dxa"/>
              <w:right w:w="120" w:type="dxa"/>
            </w:tcMar>
            <w:vAlign w:val="center"/>
          </w:tcPr>
          <w:p w:rsidRPr="00C3218E" w:rsidR="00167CD5" w:rsidP="0005733C" w:rsidRDefault="00167CD5" w14:paraId="77386C83"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Lancement</w:t>
            </w:r>
          </w:p>
        </w:tc>
        <w:tc>
          <w:tcPr>
            <w:tcW w:w="6264" w:type="dxa"/>
            <w:tcMar>
              <w:top w:w="90" w:type="dxa"/>
              <w:left w:w="120" w:type="dxa"/>
              <w:bottom w:w="90" w:type="dxa"/>
              <w:right w:w="120" w:type="dxa"/>
            </w:tcMar>
            <w:vAlign w:val="center"/>
          </w:tcPr>
          <w:p w:rsidRPr="00C3218E" w:rsidR="00167CD5" w:rsidP="0005733C" w:rsidRDefault="00167CD5" w14:paraId="4AA7E0F0"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Examen des documents, cartographie des parties prenantes, échantillonnage, outils et rapport de lancement</w:t>
            </w:r>
          </w:p>
        </w:tc>
      </w:tr>
      <w:tr w:rsidRPr="00C3218E" w:rsidR="00167CD5" w:rsidTr="00167CD5" w14:paraId="5E2CB434" w14:textId="77777777">
        <w:trPr>
          <w:cantSplit/>
          <w:jc w:val="center"/>
        </w:trPr>
        <w:tc>
          <w:tcPr>
            <w:tcW w:w="2392" w:type="dxa"/>
            <w:tcMar>
              <w:top w:w="90" w:type="dxa"/>
              <w:left w:w="120" w:type="dxa"/>
              <w:bottom w:w="90" w:type="dxa"/>
              <w:right w:w="120" w:type="dxa"/>
            </w:tcMar>
            <w:vAlign w:val="center"/>
          </w:tcPr>
          <w:p w:rsidRPr="00C3218E" w:rsidR="00167CD5" w:rsidP="0005733C" w:rsidRDefault="00167CD5" w14:paraId="6B65CF89"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Analyse du contexte</w:t>
            </w:r>
          </w:p>
        </w:tc>
        <w:tc>
          <w:tcPr>
            <w:tcW w:w="6264" w:type="dxa"/>
            <w:tcMar>
              <w:top w:w="90" w:type="dxa"/>
              <w:left w:w="120" w:type="dxa"/>
              <w:bottom w:w="90" w:type="dxa"/>
              <w:right w:w="120" w:type="dxa"/>
            </w:tcMar>
            <w:vAlign w:val="center"/>
          </w:tcPr>
          <w:p w:rsidRPr="00C3218E" w:rsidR="00167CD5" w:rsidP="0005733C" w:rsidRDefault="00167CD5" w14:paraId="3BD7BAF9"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Recherche documentaire, listes préliminaires de prestataires et base de données préliminaire des services</w:t>
            </w:r>
          </w:p>
        </w:tc>
      </w:tr>
      <w:tr w:rsidRPr="00C3218E" w:rsidR="00167CD5" w:rsidTr="00167CD5" w14:paraId="7E9A7342" w14:textId="77777777">
        <w:trPr>
          <w:cantSplit/>
          <w:jc w:val="center"/>
        </w:trPr>
        <w:tc>
          <w:tcPr>
            <w:tcW w:w="2392" w:type="dxa"/>
            <w:tcMar>
              <w:top w:w="90" w:type="dxa"/>
              <w:left w:w="120" w:type="dxa"/>
              <w:bottom w:w="90" w:type="dxa"/>
              <w:right w:w="120" w:type="dxa"/>
            </w:tcMar>
            <w:vAlign w:val="center"/>
          </w:tcPr>
          <w:p w:rsidRPr="00C3218E" w:rsidR="00167CD5" w:rsidP="0005733C" w:rsidRDefault="00167CD5" w14:paraId="740A0F3F"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Travail de terrain dans le pays</w:t>
            </w:r>
          </w:p>
        </w:tc>
        <w:tc>
          <w:tcPr>
            <w:tcW w:w="6264" w:type="dxa"/>
            <w:tcMar>
              <w:top w:w="90" w:type="dxa"/>
              <w:left w:w="120" w:type="dxa"/>
              <w:bottom w:w="90" w:type="dxa"/>
              <w:right w:w="120" w:type="dxa"/>
            </w:tcMar>
            <w:vAlign w:val="center"/>
          </w:tcPr>
          <w:p w:rsidRPr="00C3218E" w:rsidR="00167CD5" w:rsidP="0005733C" w:rsidRDefault="00167CD5" w14:paraId="40F7D45B"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Enquêtes AAE et groupes de discussion ; entretiens avec les prestataires et les parties prenantes</w:t>
            </w:r>
          </w:p>
        </w:tc>
      </w:tr>
      <w:tr w:rsidRPr="00C3218E" w:rsidR="00167CD5" w:rsidTr="00167CD5" w14:paraId="31366B31" w14:textId="77777777">
        <w:trPr>
          <w:cantSplit/>
          <w:jc w:val="center"/>
        </w:trPr>
        <w:tc>
          <w:tcPr>
            <w:tcW w:w="2392" w:type="dxa"/>
            <w:tcMar>
              <w:top w:w="90" w:type="dxa"/>
              <w:left w:w="120" w:type="dxa"/>
              <w:bottom w:w="90" w:type="dxa"/>
              <w:right w:w="120" w:type="dxa"/>
            </w:tcMar>
            <w:vAlign w:val="center"/>
          </w:tcPr>
          <w:p w:rsidRPr="00C3218E" w:rsidR="00167CD5" w:rsidP="0005733C" w:rsidRDefault="00167CD5" w14:paraId="0644A0C5"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Analyse</w:t>
            </w:r>
          </w:p>
        </w:tc>
        <w:tc>
          <w:tcPr>
            <w:tcW w:w="6264" w:type="dxa"/>
            <w:tcMar>
              <w:top w:w="90" w:type="dxa"/>
              <w:left w:w="120" w:type="dxa"/>
              <w:bottom w:w="90" w:type="dxa"/>
              <w:right w:w="120" w:type="dxa"/>
            </w:tcMar>
            <w:vAlign w:val="center"/>
          </w:tcPr>
          <w:p w:rsidRPr="00C3218E" w:rsidR="00167CD5" w:rsidP="0005733C" w:rsidRDefault="00167CD5" w14:paraId="11D8475D"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Évaluations par pays, notation des services, ébauches de profils et recommandations</w:t>
            </w:r>
          </w:p>
        </w:tc>
      </w:tr>
      <w:tr w:rsidRPr="00C3218E" w:rsidR="00167CD5" w:rsidTr="00167CD5" w14:paraId="5061E298" w14:textId="77777777">
        <w:trPr>
          <w:cantSplit/>
          <w:jc w:val="center"/>
        </w:trPr>
        <w:tc>
          <w:tcPr>
            <w:tcW w:w="2392" w:type="dxa"/>
            <w:tcMar>
              <w:top w:w="90" w:type="dxa"/>
              <w:left w:w="120" w:type="dxa"/>
              <w:bottom w:w="90" w:type="dxa"/>
              <w:right w:w="120" w:type="dxa"/>
            </w:tcMar>
            <w:vAlign w:val="center"/>
          </w:tcPr>
          <w:p w:rsidRPr="00C3218E" w:rsidR="00167CD5" w:rsidP="0005733C" w:rsidRDefault="00167CD5" w14:paraId="0FBAF751"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Validation</w:t>
            </w:r>
          </w:p>
        </w:tc>
        <w:tc>
          <w:tcPr>
            <w:tcW w:w="6264" w:type="dxa"/>
            <w:tcMar>
              <w:top w:w="90" w:type="dxa"/>
              <w:left w:w="120" w:type="dxa"/>
              <w:bottom w:w="90" w:type="dxa"/>
              <w:right w:w="120" w:type="dxa"/>
            </w:tcMar>
            <w:vAlign w:val="center"/>
          </w:tcPr>
          <w:p w:rsidRPr="00C3218E" w:rsidR="00167CD5" w:rsidP="0005733C" w:rsidRDefault="00167CD5" w14:paraId="12AEA0F7"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Six sessions par pays, examen comparatif entre pays et vérification des informations fournies par les prestataires</w:t>
            </w:r>
          </w:p>
        </w:tc>
      </w:tr>
      <w:tr w:rsidRPr="00C3218E" w:rsidR="00167CD5" w:rsidTr="00167CD5" w14:paraId="2A367675" w14:textId="77777777">
        <w:trPr>
          <w:cantSplit/>
          <w:jc w:val="center"/>
        </w:trPr>
        <w:tc>
          <w:tcPr>
            <w:tcW w:w="2392" w:type="dxa"/>
            <w:tcMar>
              <w:top w:w="90" w:type="dxa"/>
              <w:left w:w="120" w:type="dxa"/>
              <w:bottom w:w="90" w:type="dxa"/>
              <w:right w:w="120" w:type="dxa"/>
            </w:tcMar>
            <w:vAlign w:val="center"/>
          </w:tcPr>
          <w:p w:rsidRPr="00C3218E" w:rsidR="00167CD5" w:rsidP="0005733C" w:rsidRDefault="00167CD5" w14:paraId="563ECA44"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Finalisation</w:t>
            </w:r>
          </w:p>
        </w:tc>
        <w:tc>
          <w:tcPr>
            <w:tcW w:w="6264" w:type="dxa"/>
            <w:tcMar>
              <w:top w:w="90" w:type="dxa"/>
              <w:left w:w="120" w:type="dxa"/>
              <w:bottom w:w="90" w:type="dxa"/>
              <w:right w:w="120" w:type="dxa"/>
            </w:tcMar>
            <w:vAlign w:val="center"/>
          </w:tcPr>
          <w:p w:rsidRPr="00C3218E" w:rsidR="00167CD5" w:rsidP="0005733C" w:rsidRDefault="00167CD5" w14:paraId="41E285DE"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Rapports finaux, base de données, guide d’accès, cahier des charges et séance de diffusion</w:t>
            </w:r>
          </w:p>
        </w:tc>
      </w:tr>
    </w:tbl>
    <w:p w:rsidRPr="00C3218E" w:rsidR="00F17EEF" w:rsidP="0005733C" w:rsidRDefault="00F17EEF" w14:paraId="066B340F" w14:textId="77777777">
      <w:pPr>
        <w:spacing w:after="0"/>
        <w:jc w:val="both"/>
        <w:rPr>
          <w:rFonts w:ascii="Calibri Light" w:hAnsi="Calibri Light" w:cs="Calibri Light"/>
          <w:sz w:val="22"/>
        </w:rPr>
      </w:pPr>
    </w:p>
    <w:p w:rsidRPr="00C3218E" w:rsidR="00F17EEF" w:rsidP="0005733C" w:rsidRDefault="00F17EEF" w14:paraId="59B8D6D9" w14:textId="77777777">
      <w:pPr>
        <w:pStyle w:val="Heading1"/>
        <w:jc w:val="both"/>
        <w:rPr>
          <w:rFonts w:ascii="Calibri Light" w:hAnsi="Calibri Light" w:cs="Calibri Light"/>
          <w:sz w:val="22"/>
          <w:szCs w:val="22"/>
        </w:rPr>
      </w:pPr>
      <w:r w:rsidRPr="00C3218E">
        <w:rPr>
          <w:rFonts w:ascii="Calibri Light" w:hAnsi="Calibri Light" w:cs="Calibri Light"/>
          <w:sz w:val="22"/>
          <w:szCs w:val="22"/>
        </w:rPr>
        <w:t xml:space="preserve">15. Assurance qualité, éthique et gestion des données</w:t>
      </w:r>
    </w:p>
    <w:p w:rsidRPr="00C3218E" w:rsidR="00F17EEF" w:rsidP="0005733C" w:rsidRDefault="00000000" w14:paraId="231733E7"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Obtenir le consentement éclairé et expliquer l’objectif et l’utilisation prévue des informations avant chaque entretien, enquête ou groupe de discussion.</w:t>
      </w:r>
    </w:p>
    <w:p w:rsidRPr="00C3218E" w:rsidR="00F17EEF" w:rsidP="0005733C" w:rsidRDefault="00000000" w14:paraId="4C2EDC11"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Évitez de collecter des informations personnelles ou commercialement sensibles non nécessaires et rendez compte des expériences des entreprises d’une manière convenue avec les personnes interrogées.</w:t>
      </w:r>
    </w:p>
    <w:p w:rsidRPr="00C3218E" w:rsidR="00F17EEF" w:rsidP="0005733C" w:rsidRDefault="00000000" w14:paraId="3CBD4607"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lastRenderedPageBreak/>
      </w:r>
      <w:r w:rsidRPr="00C3218E">
        <w:rPr>
          <w:rFonts w:ascii="Calibri Light" w:hAnsi="Calibri Light" w:cs="Calibri Light"/>
          <w:sz w:val="22"/>
        </w:rPr>
        <w:t xml:space="preserve">Vérifier les informations relatives aux prestataires et aux produits directement auprès de ces derniers avant leur publication et consigner la date et la source de la vérification.</w:t>
      </w:r>
    </w:p>
    <w:p w:rsidRPr="00C3218E" w:rsidR="00F17EEF" w:rsidP="0005733C" w:rsidRDefault="00000000" w14:paraId="443449D1"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Faites la distinction entre les termes utilisés dans la publicité et l’expérience réelle de l’AAE, et ne laissez pas entendre que l’AFSA approuve un prestataire simplement parce qu’il figure dans la cartographie.</w:t>
      </w:r>
    </w:p>
    <w:p w:rsidRPr="00C3218E" w:rsidR="00F17EEF" w:rsidP="0005733C" w:rsidRDefault="00000000" w14:paraId="2500B783"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Conservez la base de données dans un format pouvant être mis à jour et préconisez une attribution claire de la responsabilité, des dates de révision et un processus de correction des informations obsolètes.</w:t>
      </w:r>
    </w:p>
    <w:p w:rsidRPr="00C3218E" w:rsidR="00F17EEF" w:rsidP="0005733C" w:rsidRDefault="00000000" w14:paraId="278CD53D"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Utilisez des définitions et des outils communs à tous les pays, traduisez-les si nécessaire et appliquez une analyse tenant compte des questions de genre et des jeunes.</w:t>
      </w:r>
    </w:p>
    <w:p w:rsidRPr="00C3218E" w:rsidR="00F17EEF" w:rsidP="0005733C" w:rsidRDefault="00000000" w14:paraId="60DD44EC" w14:textId="77777777">
      <w:pPr>
        <w:pStyle w:val="ListBullet"/>
        <w:keepLines/>
        <w:spacing w:after="60" w:line="252" w:lineRule="auto"/>
        <w:jc w:val="both"/>
        <w:rPr>
          <w:rFonts w:ascii="Calibri Light" w:hAnsi="Calibri Light" w:cs="Calibri Light"/>
          <w:b/>
          <w:bCs/>
          <w:sz w:val="22"/>
        </w:rPr>
      </w:pPr>
      <w:r w:rsidRPr="00C3218E">
        <w:rPr>
          <w:rFonts w:ascii="Calibri Light" w:hAnsi="Calibri Light" w:cs="Calibri Light"/>
          <w:sz w:val="22"/>
        </w:rPr>
        <w:t xml:space="preserve">Transmettre à l’AFSA les dossiers de recherche anonymisés ou dépersonnalisés, conformément au plan de gestion des données convenu.</w:t>
      </w:r>
    </w:p>
    <w:p w:rsidRPr="00C3218E" w:rsidR="002E29D8" w:rsidRDefault="00000000" w14:paraId="23AA01AE" w14:textId="77777777">
      <w:pPr>
        <w:pStyle w:val="Heading1"/>
        <w:rPr>
          <w:rFonts w:ascii="Calibri Light" w:hAnsi="Calibri Light" w:cs="Calibri Light"/>
          <w:sz w:val="22"/>
          <w:szCs w:val="22"/>
        </w:rPr>
      </w:pPr>
      <w:r w:rsidRPr="00C3218E">
        <w:rPr>
          <w:rFonts w:ascii="Calibri Light" w:hAnsi="Calibri Light" w:cs="Calibri Light"/>
          <w:sz w:val="22"/>
          <w:szCs w:val="22"/>
        </w:rPr>
        <w:t xml:space="preserve">16. Utilisation prévue des résultats</w:t>
      </w:r>
    </w:p>
    <w:p w:rsidRPr="00C3218E" w:rsidR="002E29D8" w:rsidRDefault="00000000" w14:paraId="4C0F31EC" w14:textId="77777777">
      <w:pPr>
        <w:rPr>
          <w:rFonts w:ascii="Calibri Light" w:hAnsi="Calibri Light" w:cs="Calibri Light"/>
          <w:sz w:val="22"/>
        </w:rPr>
      </w:pPr>
      <w:r w:rsidRPr="00C3218E">
        <w:rPr>
          <w:rFonts w:ascii="Calibri Light" w:hAnsi="Calibri Light" w:cs="Calibri Light"/>
          <w:sz w:val="22"/>
        </w:rPr>
        <w:t xml:space="preserve">L’AFSA et les plateformes nationales de l’AAE utiliseront ces conclusions pour orienter les entreprises vers des services adaptés ; personnaliser l’accompagnement en matière de comptabilité, d’éducation financière et de préparation à l’investissement ; organiser des dialogues ciblés entre prestataires et l’AAE ; négocier des partenariats ; identifier les services se prêtant à une mise en œuvre pilote ; et renforcer le plaidoyer concernant les obstacles à l’accès. Les prestataires pourront utiliser ces données pour affiner la segmentation de leur clientèle, l’évaluation de la solvabilité, les échéanciers de remboursement, les canaux de distribution, les offres groupées de services et les partenariats.</w:t>
      </w:r>
    </w:p>
    <w:p w:rsidRPr="00C3218E" w:rsidR="002E29D8" w:rsidRDefault="00000000" w14:paraId="7DFB1009" w14:textId="77777777">
      <w:pPr>
        <w:pStyle w:val="Heading1"/>
        <w:rPr>
          <w:rFonts w:ascii="Calibri Light" w:hAnsi="Calibri Light" w:cs="Calibri Light"/>
          <w:sz w:val="22"/>
          <w:szCs w:val="22"/>
        </w:rPr>
      </w:pPr>
      <w:r w:rsidRPr="00C3218E">
        <w:rPr>
          <w:rFonts w:ascii="Calibri Light" w:hAnsi="Calibri Light" w:cs="Calibri Light"/>
          <w:sz w:val="22"/>
          <w:szCs w:val="22"/>
        </w:rPr>
        <w:t xml:space="preserve">17. Principaux risques et mesures d’atténuation</w:t>
      </w:r>
    </w:p>
    <w:p w:rsidRPr="00C3218E" w:rsidR="002E29D8" w:rsidRDefault="00000000" w14:paraId="23A3194A" w14:textId="77777777">
      <w:pPr>
        <w:pStyle w:val="ListBullet"/>
        <w:rPr>
          <w:rFonts w:ascii="Calibri Light" w:hAnsi="Calibri Light" w:cs="Calibri Light"/>
          <w:sz w:val="22"/>
        </w:rPr>
      </w:pPr>
      <w:r w:rsidRPr="00C3218E">
        <w:rPr>
          <w:rFonts w:ascii="Calibri Light" w:hAnsi="Calibri Light" w:cs="Calibri Light"/>
          <w:sz w:val="22"/>
        </w:rPr>
        <w:t xml:space="preserve">Évolution rapide des informations fournies par les prestataires : consigner les dates de vérification des données, attribuer la responsabilité des mises à jour et recommander un processus de révision annuel allégé.</w:t>
      </w:r>
    </w:p>
    <w:p w:rsidRPr="00C3218E" w:rsidR="002E29D8" w:rsidRDefault="00000000" w14:paraId="430DF4A3" w14:textId="77777777">
      <w:pPr>
        <w:pStyle w:val="ListBullet"/>
        <w:rPr>
          <w:rFonts w:ascii="Calibri Light" w:hAnsi="Calibri Light" w:cs="Calibri Light"/>
          <w:sz w:val="22"/>
        </w:rPr>
      </w:pPr>
      <w:r w:rsidRPr="00C3218E">
        <w:rPr>
          <w:rFonts w:ascii="Calibri Light" w:hAnsi="Calibri Light" w:cs="Calibri Light"/>
          <w:sz w:val="22"/>
        </w:rPr>
        <w:t xml:space="preserve">Divulgation limitée par les prestataires : </w:t>
      </w:r>
      <w:r w:rsidRPr="00C3218E">
        <w:rPr>
          <w:rFonts w:ascii="Calibri Light" w:hAnsi="Calibri Light" w:cs="Calibri Light"/>
          <w:sz w:val="22"/>
        </w:rPr>
        <w:t xml:space="preserve">utiliser </w:t>
      </w:r>
      <w:r w:rsidRPr="00C3218E">
        <w:rPr>
          <w:rFonts w:ascii="Calibri Light" w:hAnsi="Calibri Light" w:cs="Calibri Light"/>
          <w:sz w:val="22"/>
        </w:rPr>
        <w:t xml:space="preserve">les informations officielles, respecter la confidentialité le cas échéant, recourir à la triangulation et indiquer clairement les limites des données.</w:t>
      </w:r>
    </w:p>
    <w:p w:rsidRPr="00C3218E" w:rsidR="002E29D8" w:rsidRDefault="00000000" w14:paraId="096EF95E" w14:textId="77777777">
      <w:pPr>
        <w:pStyle w:val="ListBullet"/>
        <w:rPr>
          <w:rFonts w:ascii="Calibri Light" w:hAnsi="Calibri Light" w:cs="Calibri Light"/>
          <w:sz w:val="22"/>
        </w:rPr>
      </w:pPr>
      <w:r w:rsidRPr="00C3218E">
        <w:rPr>
          <w:rFonts w:ascii="Calibri Light" w:hAnsi="Calibri Light" w:cs="Calibri Light"/>
          <w:sz w:val="22"/>
        </w:rPr>
        <w:t xml:space="preserve">Surreprésentation des entreprises les plus solides : appliquer des quotas d’échantillonnage raisonné en fonction du stade de développement de l’entreprise, de sa localisation, de son secteur d’activité, du genre, de la jeunesse et du statut de formalisation.</w:t>
      </w:r>
    </w:p>
    <w:p w:rsidRPr="00C3218E" w:rsidR="002E29D8" w:rsidRDefault="00000000" w14:paraId="01615110" w14:textId="77777777">
      <w:pPr>
        <w:pStyle w:val="ListBullet"/>
        <w:rPr>
          <w:rFonts w:ascii="Calibri Light" w:hAnsi="Calibri Light" w:cs="Calibri Light"/>
          <w:sz w:val="22"/>
        </w:rPr>
      </w:pPr>
      <w:r w:rsidRPr="00C3218E">
        <w:rPr>
          <w:rFonts w:ascii="Calibri Light" w:hAnsi="Calibri Light" w:cs="Calibri Light"/>
          <w:sz w:val="22"/>
        </w:rPr>
        <w:t xml:space="preserve">Conclusions trop généralisées concernant les six pays : établir d’abord des profils par pays et conserver les différences contextuelles importantes dans la synthèse.</w:t>
      </w:r>
    </w:p>
    <w:p w:rsidRPr="00C3218E" w:rsidR="002E29D8" w:rsidRDefault="00000000" w14:paraId="0D6F71FC" w14:textId="77777777">
      <w:pPr>
        <w:pStyle w:val="ListBullet"/>
        <w:rPr>
          <w:rFonts w:ascii="Calibri Light" w:hAnsi="Calibri Light" w:cs="Calibri Light"/>
          <w:sz w:val="22"/>
        </w:rPr>
      </w:pPr>
      <w:r w:rsidRPr="00C3218E">
        <w:rPr>
          <w:rFonts w:ascii="Calibri Light" w:hAnsi="Calibri Light" w:cs="Calibri Light"/>
          <w:sz w:val="22"/>
        </w:rPr>
        <w:t xml:space="preserve">Accent excessif mis sur les prêts : évaluer l’ensemble des éléments relatifs au capital, à l’épargne, aux transactions, à l’assurance, aux actifs, aux marchés, aux aides et aux opportunités d’augmentation des revenus.</w:t>
      </w:r>
    </w:p>
    <w:p w:rsidRPr="00C3218E" w:rsidR="002E29D8" w:rsidRDefault="00000000" w14:paraId="0774999B" w14:textId="77777777">
      <w:pPr>
        <w:pStyle w:val="Heading1"/>
        <w:rPr>
          <w:rFonts w:ascii="Calibri Light" w:hAnsi="Calibri Light" w:cs="Calibri Light"/>
          <w:sz w:val="22"/>
          <w:szCs w:val="22"/>
        </w:rPr>
      </w:pPr>
      <w:r w:rsidRPr="00C3218E">
        <w:rPr>
          <w:rFonts w:ascii="Calibri Light" w:hAnsi="Calibri Light" w:cs="Calibri Light"/>
          <w:sz w:val="22"/>
          <w:szCs w:val="22"/>
        </w:rPr>
        <w:t xml:space="preserve">18. Cadre budgétaire</w:t>
      </w:r>
    </w:p>
    <w:p w:rsidRPr="00C3218E" w:rsidR="002E29D8" w:rsidRDefault="00000000" w14:paraId="1F35921C" w14:textId="77777777">
      <w:pPr>
        <w:rPr>
          <w:rFonts w:ascii="Calibri Light" w:hAnsi="Calibri Light" w:cs="Calibri Light"/>
          <w:sz w:val="22"/>
        </w:rPr>
      </w:pPr>
      <w:r w:rsidRPr="00C3218E">
        <w:rPr>
          <w:rFonts w:ascii="Calibri Light" w:hAnsi="Calibri Light" w:cs="Calibri Light"/>
          <w:sz w:val="22"/>
        </w:rPr>
        <w:t xml:space="preserve">La proposition financière doit prévoir le lancement et le développement des outils ; les chercheurs nationaux et la coordination ; la traduction et l’interprétation ; la collecte et la communication des données ; les déplacements si nécessaire ; les réunions nationales de validation ; l’analyse des données ; la rédaction et la conception du rapport ; la diffusion ; les taxes ; les frais remboursables ; et les imprévus. Les coûts au niveau national et les coûts transnationaux doivent être présentés séparément, avec une indication claire de toutes les hypothèses.</w:t>
      </w:r>
    </w:p>
    <w:p w:rsidRPr="00C3218E" w:rsidR="002E29D8" w:rsidRDefault="00000000" w14:paraId="6533003E" w14:textId="77777777">
      <w:pPr>
        <w:pStyle w:val="Heading1"/>
        <w:rPr>
          <w:rFonts w:ascii="Calibri Light" w:hAnsi="Calibri Light" w:cs="Calibri Light"/>
          <w:sz w:val="22"/>
          <w:szCs w:val="22"/>
        </w:rPr>
      </w:pPr>
      <w:r w:rsidRPr="00C3218E">
        <w:rPr>
          <w:rFonts w:ascii="Calibri Light" w:hAnsi="Calibri Light" w:cs="Calibri Light"/>
          <w:sz w:val="22"/>
          <w:szCs w:val="22"/>
        </w:rPr>
        <w:t xml:space="preserve">19. Indicateurs de réussite</w:t>
      </w:r>
    </w:p>
    <w:p w:rsidRPr="00C3218E" w:rsidR="002E29D8" w:rsidRDefault="00000000" w14:paraId="709D3854" w14:textId="77777777">
      <w:pPr>
        <w:pStyle w:val="ListBullet"/>
        <w:rPr>
          <w:rFonts w:ascii="Calibri Light" w:hAnsi="Calibri Light" w:cs="Calibri Light"/>
          <w:sz w:val="22"/>
        </w:rPr>
      </w:pPr>
      <w:r w:rsidRPr="00C3218E">
        <w:rPr>
          <w:rFonts w:ascii="Calibri Light" w:hAnsi="Calibri Light" w:cs="Calibri Light"/>
          <w:sz w:val="22"/>
        </w:rPr>
        <w:t xml:space="preserve">Une base de données vérifiée et consultable répertoriant les prestataires et les services est mise en place pour les six pays et acceptée par l’AFSA et les plateformes nationales.</w:t>
      </w:r>
    </w:p>
    <w:p w:rsidRPr="00C3218E" w:rsidR="002E29D8" w:rsidRDefault="00000000" w14:paraId="5A86E2F4" w14:textId="77777777">
      <w:pPr>
        <w:pStyle w:val="ListBullet"/>
        <w:rPr>
          <w:rFonts w:ascii="Calibri Light" w:hAnsi="Calibri Light" w:cs="Calibri Light"/>
          <w:sz w:val="22"/>
        </w:rPr>
      </w:pPr>
      <w:r w:rsidRPr="00C3218E">
        <w:rPr>
          <w:rFonts w:ascii="Calibri Light" w:hAnsi="Calibri Light" w:cs="Calibri Light"/>
          <w:sz w:val="22"/>
        </w:rPr>
        <w:t xml:space="preserve">Les AAE peuvent utiliser le guide d’accès final pour identifier les services adaptés, comprendre les exigences et préparer une demande ou une orientation.</w:t>
      </w:r>
    </w:p>
    <w:p w:rsidRPr="00C3218E" w:rsidR="002E29D8" w:rsidRDefault="00000000" w14:paraId="03BD8EF9" w14:textId="77777777">
      <w:pPr>
        <w:pStyle w:val="ListBullet"/>
        <w:rPr>
          <w:rFonts w:ascii="Calibri Light" w:hAnsi="Calibri Light" w:cs="Calibri Light"/>
          <w:sz w:val="22"/>
        </w:rPr>
      </w:pPr>
      <w:r w:rsidRPr="00C3218E">
        <w:rPr>
          <w:rFonts w:ascii="Calibri Light" w:hAnsi="Calibri Light" w:cs="Calibri Light"/>
          <w:sz w:val="22"/>
        </w:rPr>
        <w:t xml:space="preserve">Les prestataires valident l’évaluation et identifient les changements concrets à apporter aux produits, aux partenariats ou aux modalités de prestation, en vue d’une discussion plus approfondie ou d’une mise en œuvre pilote.</w:t>
      </w:r>
    </w:p>
    <w:p w:rsidRPr="00C3218E" w:rsidR="002E29D8" w:rsidRDefault="00000000" w14:paraId="1A22A241" w14:textId="77777777">
      <w:pPr>
        <w:pStyle w:val="ListBullet"/>
        <w:rPr>
          <w:rFonts w:ascii="Calibri Light" w:hAnsi="Calibri Light" w:cs="Calibri Light"/>
          <w:sz w:val="22"/>
        </w:rPr>
      </w:pPr>
      <w:r w:rsidRPr="00C3218E">
        <w:rPr>
          <w:rFonts w:ascii="Calibri Light" w:hAnsi="Calibri Light" w:cs="Calibri Light"/>
          <w:sz w:val="22"/>
        </w:rPr>
        <w:t xml:space="preserve">L’AFSA et les plateformes nationales intègrent ces données dans leurs activités de soutien aux entreprises, de mise en relation, de développement de partenariats et de plaidoyer.</w:t>
      </w:r>
    </w:p>
    <w:p w:rsidRPr="00C3218E" w:rsidR="002E29D8" w:rsidRDefault="00000000" w14:paraId="3DB74924" w14:textId="77777777">
      <w:pPr>
        <w:pStyle w:val="ListBullet"/>
        <w:rPr>
          <w:rFonts w:ascii="Calibri Light" w:hAnsi="Calibri Light" w:cs="Calibri Light"/>
          <w:sz w:val="22"/>
        </w:rPr>
      </w:pPr>
      <w:r w:rsidRPr="00C3218E">
        <w:rPr>
          <w:rFonts w:ascii="Calibri Light" w:hAnsi="Calibri Light" w:cs="Calibri Light"/>
          <w:sz w:val="22"/>
        </w:rPr>
        <w:t xml:space="preserve">Un mécanisme facile à gérer est mis en place pour maintenir à jour les informations sur les prestataires au-delà de la période d’étude.</w:t>
      </w:r>
    </w:p>
    <w:p w:rsidRPr="00C3218E" w:rsidR="002E29D8" w:rsidRDefault="00000000" w14:paraId="3B7DC664" w14:textId="77777777">
      <w:pPr>
        <w:pStyle w:val="Heading1"/>
        <w:rPr>
          <w:rFonts w:ascii="Calibri Light" w:hAnsi="Calibri Light" w:cs="Calibri Light"/>
          <w:sz w:val="22"/>
          <w:szCs w:val="22"/>
        </w:rPr>
      </w:pPr>
      <w:r w:rsidRPr="00C3218E">
        <w:rPr>
          <w:rFonts w:ascii="Calibri Light" w:hAnsi="Calibri Light" w:cs="Calibri Light"/>
          <w:sz w:val="22"/>
          <w:szCs w:val="22"/>
        </w:rPr>
        <w:lastRenderedPageBreak/>
      </w:r>
      <w:r w:rsidRPr="00C3218E">
        <w:rPr>
          <w:rFonts w:ascii="Calibri Light" w:hAnsi="Calibri Light" w:cs="Calibri Light"/>
          <w:sz w:val="22"/>
          <w:szCs w:val="22"/>
        </w:rPr>
        <w:t xml:space="preserve">20. Évaluation et sélection des propositions</w:t>
      </w:r>
    </w:p>
    <w:p w:rsidRPr="00C3218E" w:rsidR="00F17EEF" w:rsidP="0005733C" w:rsidRDefault="00000000" w14:paraId="6330BBC6" w14:textId="77777777">
      <w:pPr>
        <w:keepLines/>
        <w:jc w:val="both"/>
        <w:rPr>
          <w:rFonts w:ascii="Calibri Light" w:hAnsi="Calibri Light" w:cs="Calibri Light"/>
          <w:b/>
          <w:bCs/>
          <w:sz w:val="22"/>
        </w:rPr>
      </w:pPr>
      <w:r w:rsidRPr="00C3218E">
        <w:rPr>
          <w:rFonts w:ascii="Calibri Light" w:hAnsi="Calibri Light" w:cs="Calibri Light"/>
          <w:b/>
          <w:bCs/>
          <w:sz w:val="22"/>
        </w:rPr>
        <w:t xml:space="preserve">Un comité d’évaluation de l’AFSA examinera les propositions éligibles. La sélection tiendra compte des éléments suivants :</w:t>
      </w:r>
    </w:p>
    <w:tbl>
      <w:tblPr>
        <w:tblStyle w:val="TableGrid"/>
        <w:tblW w:w="0" w:type="auto"/>
        <w:jc w:val="center"/>
        <w:tblLayout w:type="fixed"/>
        <w:tblLook w:val="04a0"/>
      </w:tblPr>
      <w:tblGrid>
        <w:gridCol w:w="7560"/>
        <w:gridCol w:w="1944"/>
      </w:tblGrid>
      <w:tr w:rsidRPr="00C3218E" w:rsidR="00F17EEF" w:rsidTr="00EB503F" w14:paraId="217091BB" w14:textId="77777777">
        <w:trPr>
          <w:cantSplit/>
          <w:tblHeader/>
          <w:jc w:val="center"/>
        </w:trPr>
        <w:tc>
          <w:tcPr>
            <w:tcW w:w="7560" w:type="dxa"/>
            <w:shd w:val="clear" w:color="auto" w:fill="981C4F"/>
            <w:tcMar>
              <w:top w:w="90" w:type="dxa"/>
              <w:left w:w="120" w:type="dxa"/>
              <w:bottom w:w="90" w:type="dxa"/>
              <w:right w:w="120" w:type="dxa"/>
            </w:tcMar>
            <w:vAlign w:val="center"/>
          </w:tcPr>
          <w:p w:rsidRPr="00C3218E" w:rsidR="00F17EEF" w:rsidP="0005733C" w:rsidRDefault="00000000" w14:paraId="5FA085C7" w14:textId="77777777">
            <w:pPr>
              <w:jc w:val="both"/>
              <w:rPr>
                <w:rFonts w:ascii="Calibri Light" w:hAnsi="Calibri Light" w:cs="Calibri Light"/>
                <w:sz w:val="22"/>
              </w:rPr>
            </w:pPr>
            <w:r w:rsidRPr="00C3218E">
              <w:rPr>
                <w:rFonts w:ascii="Calibri Light" w:hAnsi="Calibri Light" w:cs="Calibri Light"/>
                <w:b/>
                <w:color w:val="FFFFFF"/>
                <w:sz w:val="22"/>
              </w:rPr>
              <w:t xml:space="preserve">Critère</w:t>
            </w:r>
          </w:p>
        </w:tc>
        <w:tc>
          <w:tcPr>
            <w:tcW w:w="1944" w:type="dxa"/>
            <w:shd w:val="clear" w:color="auto" w:fill="981C4F"/>
            <w:tcMar>
              <w:top w:w="90" w:type="dxa"/>
              <w:left w:w="120" w:type="dxa"/>
              <w:bottom w:w="90" w:type="dxa"/>
              <w:right w:w="120" w:type="dxa"/>
            </w:tcMar>
            <w:vAlign w:val="center"/>
          </w:tcPr>
          <w:p w:rsidRPr="00C3218E" w:rsidR="00F17EEF" w:rsidP="0005733C" w:rsidRDefault="00000000" w14:paraId="2C38FDE2" w14:textId="77777777">
            <w:pPr>
              <w:jc w:val="both"/>
              <w:rPr>
                <w:rFonts w:ascii="Calibri Light" w:hAnsi="Calibri Light" w:cs="Calibri Light"/>
                <w:sz w:val="22"/>
              </w:rPr>
            </w:pPr>
            <w:r w:rsidRPr="00C3218E">
              <w:rPr>
                <w:rFonts w:ascii="Calibri Light" w:hAnsi="Calibri Light" w:cs="Calibri Light"/>
                <w:b/>
                <w:color w:val="FFFFFF"/>
                <w:sz w:val="22"/>
              </w:rPr>
              <w:t xml:space="preserve">Pondération indicative</w:t>
            </w:r>
          </w:p>
        </w:tc>
      </w:tr>
      <w:tr w:rsidRPr="00C3218E" w:rsidR="00F17EEF" w14:paraId="503C0F4B" w14:textId="77777777">
        <w:trPr>
          <w:cantSplit/>
          <w:jc w:val="center"/>
        </w:trPr>
        <w:tc>
          <w:tcPr>
            <w:tcW w:w="7560" w:type="dxa"/>
            <w:tcMar>
              <w:top w:w="90" w:type="dxa"/>
              <w:left w:w="120" w:type="dxa"/>
              <w:bottom w:w="90" w:type="dxa"/>
              <w:right w:w="120" w:type="dxa"/>
            </w:tcMar>
            <w:vAlign w:val="center"/>
          </w:tcPr>
          <w:p w:rsidRPr="00C3218E" w:rsidR="00F17EEF" w:rsidP="0005733C" w:rsidRDefault="00000000" w14:paraId="76938979"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Compréhension de la mission et adéquation avec le cahier des charges</w:t>
            </w:r>
          </w:p>
        </w:tc>
        <w:tc>
          <w:tcPr>
            <w:tcW w:w="1944" w:type="dxa"/>
            <w:tcMar>
              <w:top w:w="90" w:type="dxa"/>
              <w:left w:w="120" w:type="dxa"/>
              <w:bottom w:w="90" w:type="dxa"/>
              <w:right w:w="120" w:type="dxa"/>
            </w:tcMar>
            <w:vAlign w:val="center"/>
          </w:tcPr>
          <w:p w:rsidRPr="00C3218E" w:rsidR="00F17EEF" w:rsidP="0005733C" w:rsidRDefault="00000000" w14:paraId="150DDF4B"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20 %</w:t>
            </w:r>
          </w:p>
        </w:tc>
      </w:tr>
      <w:tr w:rsidRPr="00C3218E" w:rsidR="00F17EEF" w14:paraId="08EFD0D6" w14:textId="77777777">
        <w:trPr>
          <w:cantSplit/>
          <w:jc w:val="center"/>
        </w:trPr>
        <w:tc>
          <w:tcPr>
            <w:tcW w:w="7560" w:type="dxa"/>
            <w:tcMar>
              <w:top w:w="90" w:type="dxa"/>
              <w:left w:w="120" w:type="dxa"/>
              <w:bottom w:w="90" w:type="dxa"/>
              <w:right w:w="120" w:type="dxa"/>
            </w:tcMar>
            <w:vAlign w:val="center"/>
          </w:tcPr>
          <w:p w:rsidRPr="00C3218E" w:rsidR="00F17EEF" w:rsidP="0005733C" w:rsidRDefault="00000000" w14:paraId="2B23A24A"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Qualité, faisabilité et caractère inclusif de la méthodologie proposée</w:t>
            </w:r>
          </w:p>
        </w:tc>
        <w:tc>
          <w:tcPr>
            <w:tcW w:w="1944" w:type="dxa"/>
            <w:tcMar>
              <w:top w:w="90" w:type="dxa"/>
              <w:left w:w="120" w:type="dxa"/>
              <w:bottom w:w="90" w:type="dxa"/>
              <w:right w:w="120" w:type="dxa"/>
            </w:tcMar>
            <w:vAlign w:val="center"/>
          </w:tcPr>
          <w:p w:rsidRPr="00C3218E" w:rsidR="00F17EEF" w:rsidP="0005733C" w:rsidRDefault="00000000" w14:paraId="1115B5E5"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30 %</w:t>
            </w:r>
          </w:p>
        </w:tc>
      </w:tr>
      <w:tr w:rsidRPr="00C3218E" w:rsidR="00F17EEF" w14:paraId="30A55E4E" w14:textId="77777777">
        <w:trPr>
          <w:cantSplit/>
          <w:jc w:val="center"/>
        </w:trPr>
        <w:tc>
          <w:tcPr>
            <w:tcW w:w="7560" w:type="dxa"/>
            <w:tcMar>
              <w:top w:w="90" w:type="dxa"/>
              <w:left w:w="120" w:type="dxa"/>
              <w:bottom w:w="90" w:type="dxa"/>
              <w:right w:w="120" w:type="dxa"/>
            </w:tcMar>
            <w:vAlign w:val="center"/>
          </w:tcPr>
          <w:p w:rsidRPr="00C3218E" w:rsidR="00F17EEF" w:rsidP="0005733C" w:rsidRDefault="00000000" w14:paraId="732B4F85"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Qualifications pertinentes, composition de l'équipe et expérience dans plusieurs pays</w:t>
            </w:r>
          </w:p>
        </w:tc>
        <w:tc>
          <w:tcPr>
            <w:tcW w:w="1944" w:type="dxa"/>
            <w:tcMar>
              <w:top w:w="90" w:type="dxa"/>
              <w:left w:w="120" w:type="dxa"/>
              <w:bottom w:w="90" w:type="dxa"/>
              <w:right w:w="120" w:type="dxa"/>
            </w:tcMar>
            <w:vAlign w:val="center"/>
          </w:tcPr>
          <w:p w:rsidRPr="00C3218E" w:rsidR="00F17EEF" w:rsidP="0005733C" w:rsidRDefault="00000000" w14:paraId="5F96A0D8"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25 %</w:t>
            </w:r>
          </w:p>
        </w:tc>
      </w:tr>
      <w:tr w:rsidRPr="00C3218E" w:rsidR="00F17EEF" w14:paraId="7B5BBD5C" w14:textId="77777777">
        <w:trPr>
          <w:cantSplit/>
          <w:jc w:val="center"/>
        </w:trPr>
        <w:tc>
          <w:tcPr>
            <w:tcW w:w="7560" w:type="dxa"/>
            <w:tcMar>
              <w:top w:w="90" w:type="dxa"/>
              <w:left w:w="120" w:type="dxa"/>
              <w:bottom w:w="90" w:type="dxa"/>
              <w:right w:w="120" w:type="dxa"/>
            </w:tcMar>
            <w:vAlign w:val="center"/>
          </w:tcPr>
          <w:p w:rsidRPr="00C3218E" w:rsidR="00F17EEF" w:rsidP="0005733C" w:rsidRDefault="00000000" w14:paraId="531F9606"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Plan de travail, assurance qualité et capacité à livrer le projet dans un délai de 16 semaines</w:t>
            </w:r>
          </w:p>
        </w:tc>
        <w:tc>
          <w:tcPr>
            <w:tcW w:w="1944" w:type="dxa"/>
            <w:tcMar>
              <w:top w:w="90" w:type="dxa"/>
              <w:left w:w="120" w:type="dxa"/>
              <w:bottom w:w="90" w:type="dxa"/>
              <w:right w:w="120" w:type="dxa"/>
            </w:tcMar>
            <w:vAlign w:val="center"/>
          </w:tcPr>
          <w:p w:rsidRPr="00C3218E" w:rsidR="00F17EEF" w:rsidP="0005733C" w:rsidRDefault="00000000" w14:paraId="7DCB4D27"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10 %</w:t>
            </w:r>
          </w:p>
        </w:tc>
      </w:tr>
      <w:tr w:rsidRPr="00C3218E" w:rsidR="00F17EEF" w14:paraId="0F42C431" w14:textId="77777777">
        <w:trPr>
          <w:cantSplit/>
          <w:jc w:val="center"/>
        </w:trPr>
        <w:tc>
          <w:tcPr>
            <w:tcW w:w="7560" w:type="dxa"/>
            <w:tcMar>
              <w:top w:w="90" w:type="dxa"/>
              <w:left w:w="120" w:type="dxa"/>
              <w:bottom w:w="90" w:type="dxa"/>
              <w:right w:w="120" w:type="dxa"/>
            </w:tcMar>
            <w:vAlign w:val="center"/>
          </w:tcPr>
          <w:p w:rsidRPr="00C3218E" w:rsidR="00F17EEF" w:rsidP="0005733C" w:rsidRDefault="00000000" w14:paraId="097C7DB8"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Proposition financière et rapport qualité-prix</w:t>
            </w:r>
          </w:p>
        </w:tc>
        <w:tc>
          <w:tcPr>
            <w:tcW w:w="1944" w:type="dxa"/>
            <w:tcMar>
              <w:top w:w="90" w:type="dxa"/>
              <w:left w:w="120" w:type="dxa"/>
              <w:bottom w:w="90" w:type="dxa"/>
              <w:right w:w="120" w:type="dxa"/>
            </w:tcMar>
            <w:vAlign w:val="center"/>
          </w:tcPr>
          <w:p w:rsidRPr="00C3218E" w:rsidR="00F17EEF" w:rsidP="0005733C" w:rsidRDefault="00000000" w14:paraId="07EFA2BC" w14:textId="77777777">
            <w:pPr>
              <w:spacing w:after="0" w:line="240" w:lineRule="auto"/>
              <w:jc w:val="both"/>
              <w:rPr>
                <w:rFonts w:ascii="Calibri Light" w:hAnsi="Calibri Light" w:cs="Calibri Light"/>
                <w:sz w:val="22"/>
              </w:rPr>
            </w:pPr>
            <w:r w:rsidRPr="00C3218E">
              <w:rPr>
                <w:rFonts w:ascii="Calibri Light" w:hAnsi="Calibri Light" w:cs="Calibri Light"/>
                <w:sz w:val="22"/>
              </w:rPr>
              <w:t xml:space="preserve">15 %</w:t>
            </w:r>
          </w:p>
        </w:tc>
      </w:tr>
    </w:tbl>
    <w:p w:rsidRPr="00C3218E" w:rsidR="00F17EEF" w:rsidP="0005733C" w:rsidRDefault="00F17EEF" w14:paraId="0F6D40A1" w14:textId="77777777">
      <w:pPr>
        <w:spacing w:after="0"/>
        <w:jc w:val="both"/>
        <w:rPr>
          <w:rFonts w:ascii="Calibri Light" w:hAnsi="Calibri Light" w:cs="Calibri Light"/>
          <w:sz w:val="22"/>
        </w:rPr>
      </w:pPr>
    </w:p>
    <w:p w:rsidRPr="00C3218E" w:rsidR="00F17EEF" w:rsidP="0005733C" w:rsidRDefault="00000000" w14:paraId="6D551622" w14:textId="77777777">
      <w:pPr>
        <w:keepLines/>
        <w:jc w:val="both"/>
        <w:rPr>
          <w:rFonts w:ascii="Calibri Light" w:hAnsi="Calibri Light" w:cs="Calibri Light"/>
          <w:sz w:val="22"/>
        </w:rPr>
      </w:pPr>
      <w:r w:rsidRPr="00C3218E">
        <w:rPr>
          <w:rFonts w:ascii="Calibri Light" w:hAnsi="Calibri Light" w:cs="Calibri Light"/>
          <w:sz w:val="22"/>
        </w:rPr>
        <w:t xml:space="preserve">L'AFSA se réserve le droit de vérifier les références, de demander des précisions, d'inviter les candidats présélectionnés à une présentation ou à une négociation, et de procéder à la sélection finale conformément au budget disponible et aux procédures de passation de marchés.</w:t>
      </w:r>
    </w:p>
    <w:p w:rsidRPr="00C3218E" w:rsidR="002E29D8" w:rsidRDefault="00000000" w14:paraId="743F18A6" w14:textId="77777777">
      <w:pPr>
        <w:pStyle w:val="Heading1"/>
        <w:rPr>
          <w:rFonts w:ascii="Calibri Light" w:hAnsi="Calibri Light" w:cs="Calibri Light"/>
          <w:sz w:val="22"/>
          <w:szCs w:val="22"/>
        </w:rPr>
      </w:pPr>
      <w:r w:rsidRPr="00C3218E">
        <w:rPr>
          <w:rFonts w:ascii="Calibri Light" w:hAnsi="Calibri Light" w:cs="Calibri Light"/>
          <w:sz w:val="22"/>
          <w:szCs w:val="22"/>
        </w:rPr>
        <w:t xml:space="preserve">21. Dispositions contractuelles et administratives</w:t>
      </w:r>
    </w:p>
    <w:p w:rsidRPr="00C3218E" w:rsidR="00F17EEF" w:rsidP="0005733C" w:rsidRDefault="00000000" w14:paraId="33A193B6"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Le candidat retenu conclura un contrat avec l’AFSA. Le présent cahier des charges, les propositions techniques et financières acceptées ainsi que le plan de travail convenu feront partie intégrante du contrat.</w:t>
      </w:r>
    </w:p>
    <w:p w:rsidRPr="00C3218E" w:rsidR="00F17EEF" w:rsidP="0005733C" w:rsidRDefault="00000000" w14:paraId="58AC8D40"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Le consultant ou le cabinet sera responsable de toutes les obligations fiscales découlant de son statut juridique et de la mission.</w:t>
      </w:r>
    </w:p>
    <w:p w:rsidRPr="00C3218E" w:rsidR="00F17EEF" w:rsidP="0005733C" w:rsidRDefault="00000000" w14:paraId="6EB3ABCF"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Le consultant et son équipe se conformeront aux </w:t>
      </w:r>
      <w:r w:rsidRPr="00C3218E">
        <w:rPr>
          <w:rFonts w:ascii="Calibri Light" w:hAnsi="Calibri Light" w:cs="Calibri Light"/>
          <w:sz w:val="22"/>
        </w:rPr>
        <w:t xml:space="preserve">procédures </w:t>
      </w:r>
      <w:r w:rsidRPr="00C3218E">
        <w:rPr>
          <w:rFonts w:ascii="Calibri Light" w:hAnsi="Calibri Light" w:cs="Calibri Light"/>
          <w:sz w:val="22"/>
        </w:rPr>
        <w:t xml:space="preserve">applicables de l’AFSA en matière de protection, de confidentialité, </w:t>
      </w:r>
      <w:r w:rsidRPr="00C3218E">
        <w:rPr>
          <w:rFonts w:ascii="Calibri Light" w:hAnsi="Calibri Light" w:cs="Calibri Light"/>
          <w:sz w:val="22"/>
        </w:rPr>
        <w:t xml:space="preserve">de protection des données</w:t>
      </w:r>
      <w:r w:rsidRPr="00C3218E">
        <w:rPr>
          <w:rFonts w:ascii="Calibri Light" w:hAnsi="Calibri Light" w:cs="Calibri Light"/>
          <w:sz w:val="22"/>
        </w:rPr>
        <w:t xml:space="preserve">, ainsi qu’aux procédures financières et administratives.</w:t>
      </w:r>
    </w:p>
    <w:p w:rsidRPr="00C3218E" w:rsidR="00F17EEF" w:rsidP="0005733C" w:rsidRDefault="00000000" w14:paraId="7DD3230D"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Tous les résultats, ensembles de données et outils originaux produits dans le cadre de la mission seront remis à l’AFSA. La propriété et l’utilisation autorisée seront régies par le contrat de consultation.</w:t>
      </w:r>
    </w:p>
    <w:p w:rsidRPr="00C3218E" w:rsidR="00F17EEF" w:rsidP="0005733C" w:rsidRDefault="00000000" w14:paraId="27F4977F"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Tout conflit d’intérêts réel ou potentiel doit être signalé dans la proposition et dès qu’il survient au cours de la mission.</w:t>
      </w:r>
    </w:p>
    <w:p w:rsidRPr="00C3218E" w:rsidR="002E29D8" w:rsidRDefault="00000000" w14:paraId="6D649AA8" w14:textId="77777777">
      <w:pPr>
        <w:pStyle w:val="Heading1"/>
        <w:rPr>
          <w:rFonts w:ascii="Calibri Light" w:hAnsi="Calibri Light" w:cs="Calibri Light"/>
          <w:sz w:val="22"/>
          <w:szCs w:val="22"/>
        </w:rPr>
      </w:pPr>
      <w:r w:rsidRPr="00C3218E">
        <w:rPr>
          <w:rFonts w:ascii="Calibri Light" w:hAnsi="Calibri Light" w:cs="Calibri Light"/>
          <w:sz w:val="22"/>
          <w:szCs w:val="22"/>
        </w:rPr>
        <w:t xml:space="preserve">22. Droits de l’AFSA</w:t>
      </w:r>
    </w:p>
    <w:p w:rsidRPr="00C3218E" w:rsidR="00F17EEF" w:rsidP="00167CD5" w:rsidRDefault="00000000" w14:paraId="478E0FB9" w14:textId="77777777">
      <w:pPr>
        <w:keepLines/>
        <w:jc w:val="both"/>
        <w:rPr>
          <w:rFonts w:ascii="Calibri Light" w:hAnsi="Calibri Light" w:cs="Calibri Light"/>
          <w:sz w:val="22"/>
        </w:rPr>
      </w:pPr>
      <w:r w:rsidRPr="00C3218E">
        <w:rPr>
          <w:rFonts w:ascii="Calibri Light" w:hAnsi="Calibri Light" w:cs="Calibri Light"/>
          <w:sz w:val="22"/>
        </w:rPr>
        <w:t xml:space="preserve">L’AFSA se réserve le droit d’annuler ou de modifier le présent appel à propositions, de rejeter tout ou partie des propositions, ou d’interrompre la procédure de passation de marché en cas de concurrence insuffisante, si aucune proposition ne répond aux exigences, si les propositions dépassent le budget disponible, en cas de modification des conditions de financement ou du programme, ou pour toute autre raison organisationnelle justifiée. L’AFSA n’est pas tenue de rembourser aux candidats les frais engagés pour la préparation ou la soumission des propositions.</w:t>
      </w:r>
    </w:p>
    <w:p w:rsidRPr="00C3218E" w:rsidR="002E29D8" w:rsidRDefault="00000000" w14:paraId="2FFE0D3E" w14:textId="77777777">
      <w:pPr>
        <w:pStyle w:val="Heading1"/>
        <w:rPr>
          <w:rFonts w:ascii="Calibri Light" w:hAnsi="Calibri Light" w:cs="Calibri Light"/>
          <w:sz w:val="22"/>
          <w:szCs w:val="22"/>
        </w:rPr>
      </w:pPr>
      <w:r w:rsidRPr="00C3218E">
        <w:rPr>
          <w:rFonts w:ascii="Calibri Light" w:hAnsi="Calibri Light" w:cs="Calibri Light"/>
          <w:sz w:val="22"/>
          <w:szCs w:val="22"/>
        </w:rPr>
        <w:t xml:space="preserve">23. Exigences relatives aux propositions</w:t>
      </w:r>
    </w:p>
    <w:p w:rsidRPr="00C3218E" w:rsidR="00F17EEF" w:rsidP="0005733C" w:rsidRDefault="00000000" w14:paraId="404EBF9E" w14:textId="77777777">
      <w:pPr>
        <w:keepLines/>
        <w:jc w:val="both"/>
        <w:rPr>
          <w:rFonts w:ascii="Calibri Light" w:hAnsi="Calibri Light" w:cs="Calibri Light"/>
          <w:b/>
          <w:bCs/>
          <w:sz w:val="22"/>
        </w:rPr>
      </w:pPr>
      <w:r w:rsidRPr="00C3218E">
        <w:rPr>
          <w:rFonts w:ascii="Calibri Light" w:hAnsi="Calibri Light" w:cs="Calibri Light"/>
          <w:b/>
          <w:bCs/>
          <w:sz w:val="22"/>
        </w:rPr>
        <w:t xml:space="preserve">L’offre complète doit contenir :</w:t>
      </w:r>
    </w:p>
    <w:p w:rsidRPr="00C3218E" w:rsidR="00F17EEF" w:rsidP="0005733C" w:rsidRDefault="00000000" w14:paraId="2819DDCD"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Une lettre d’offre signée et les coordonnées du candidat.</w:t>
      </w:r>
    </w:p>
    <w:p w:rsidRPr="00C3218E" w:rsidR="00F17EEF" w:rsidP="0005733C" w:rsidRDefault="00000000" w14:paraId="035ECD4E"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Une proposition technique ne dépassant pas six pages, annexes non comprises.</w:t>
      </w:r>
    </w:p>
    <w:p w:rsidRPr="00C3218E" w:rsidR="00F17EEF" w:rsidP="0005733C" w:rsidRDefault="00000000" w14:paraId="66F6D5EB"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Une méthodologie claire, un plan d’échantillonnage, les modalités de couverture des pays, un plan de travail et la composition de l’équipe.</w:t>
      </w:r>
    </w:p>
    <w:p w:rsidRPr="00C3218E" w:rsidR="00F17EEF" w:rsidP="0005733C" w:rsidRDefault="00000000" w14:paraId="26797522"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Les CV de tous les membres de l'équipe proposés et une déclaration attestant de leur disponibilité.</w:t>
      </w:r>
    </w:p>
    <w:p w:rsidRPr="00C3218E" w:rsidR="00F17EEF" w:rsidP="0005733C" w:rsidRDefault="00000000" w14:paraId="1C8F6E3F"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La preuve d’au moins deux missions comparables, y compris des références de clients et des exemples de rapports.</w:t>
      </w:r>
    </w:p>
    <w:p w:rsidRPr="00C3218E" w:rsidR="00F17EEF" w:rsidP="0005733C" w:rsidRDefault="00000000" w14:paraId="45853902"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Une proposition financière en dollars américains indiquant les honoraires professionnels, les coûts au niveau national, les frais de déplacement, de traduction, de collecte de données, de validation, de rédaction de rapports, les taxes et toutes les dépenses remboursables.</w:t>
      </w:r>
    </w:p>
    <w:p w:rsidRPr="00C3218E" w:rsidR="00F17EEF" w:rsidP="0005733C" w:rsidRDefault="00000000" w14:paraId="22E8DE91" w14:textId="77777777">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Une déclaration relative aux conflits d’intérêts et à toute hypothèse ou exclusion ayant une incidence sur l’offre.</w:t>
      </w:r>
    </w:p>
    <w:p w:rsidRPr="00C3218E" w:rsidR="00167CD5" w:rsidP="0005733C" w:rsidRDefault="00167CD5" w14:paraId="5AAF162C" w14:textId="77777777">
      <w:pPr>
        <w:keepLines/>
        <w:jc w:val="both"/>
        <w:rPr>
          <w:rFonts w:ascii="Calibri Light" w:hAnsi="Calibri Light" w:cs="Calibri Light"/>
          <w:sz w:val="22"/>
        </w:rPr>
      </w:pPr>
    </w:p>
    <w:p w:rsidRPr="00C3218E" w:rsidR="002E29D8" w:rsidRDefault="00000000" w14:paraId="09F28A5A" w14:textId="77777777">
      <w:pPr>
        <w:pStyle w:val="Heading1"/>
        <w:rPr>
          <w:rFonts w:ascii="Calibri Light" w:hAnsi="Calibri Light" w:cs="Calibri Light"/>
          <w:sz w:val="22"/>
          <w:szCs w:val="22"/>
        </w:rPr>
      </w:pPr>
      <w:r w:rsidRPr="00C3218E">
        <w:rPr>
          <w:rFonts w:ascii="Calibri Light" w:hAnsi="Calibri Light" w:cs="Calibri Light"/>
          <w:sz w:val="22"/>
          <w:szCs w:val="22"/>
        </w:rPr>
        <w:lastRenderedPageBreak/>
      </w:r>
      <w:r w:rsidRPr="00C3218E">
        <w:rPr>
          <w:rFonts w:ascii="Calibri Light" w:hAnsi="Calibri Light" w:cs="Calibri Light"/>
          <w:sz w:val="22"/>
          <w:szCs w:val="22"/>
        </w:rPr>
        <w:t xml:space="preserve">24. Instructions de soumission et date limite</w:t>
      </w:r>
    </w:p>
    <w:p w:rsidRPr="00C3218E" w:rsidR="00F17EEF" w:rsidP="0005733C" w:rsidRDefault="00000000" w14:paraId="38B2558B" w14:textId="37C66995">
      <w:pPr>
        <w:keepLines/>
        <w:jc w:val="both"/>
        <w:rPr>
          <w:rFonts w:ascii="Calibri Light" w:hAnsi="Calibri Light" w:cs="Calibri Light"/>
          <w:sz w:val="22"/>
        </w:rPr>
      </w:pPr>
      <w:r w:rsidRPr="00C3218E">
        <w:rPr>
          <w:rFonts w:ascii="Calibri Light" w:hAnsi="Calibri Light" w:cs="Calibri Light"/>
          <w:sz w:val="22"/>
        </w:rPr>
        <w:t xml:space="preserve">Les offres doivent être envoyées par e-mail à </w:t>
      </w:r>
      <w:r w:rsidR="00C3218E">
        <w:rPr>
          <w:rFonts w:ascii="Calibri Light" w:hAnsi="Calibri Light" w:cs="Calibri Light"/>
          <w:sz w:val="22"/>
        </w:rPr>
        <w:t xml:space="preserve">l’adresse</w:t>
      </w:r>
      <w:hyperlink w:history="1" r:id="rId10">
        <w:r w:rsidRPr="003B2625" w:rsidR="00C3218E">
          <w:rPr>
            <w:rStyle w:val="Hyperlink"/>
            <w:rFonts w:ascii="Calibri Light" w:hAnsi="Calibri Light" w:cs="Calibri Light"/>
            <w:sz w:val="22"/>
          </w:rPr>
          <w:t>afsa@afsafrica.org</w:t>
        </w:r>
      </w:hyperlink>
      <w:r w:rsidR="00C3218E">
        <w:rPr>
          <w:rFonts w:ascii="Calibri Light" w:hAnsi="Calibri Light" w:cs="Calibri Light"/>
          <w:sz w:val="22"/>
        </w:rPr>
        <w:t xml:space="preserve"> </w:t>
      </w:r>
      <w:r w:rsidRPr="00C3218E">
        <w:rPr>
          <w:rFonts w:ascii="Calibri Light" w:hAnsi="Calibri Light" w:cs="Calibri Light"/>
          <w:sz w:val="22"/>
        </w:rPr>
        <w:t xml:space="preserve">en indiquant en objet </w:t>
      </w:r>
      <w:r w:rsidRPr="00C3218E">
        <w:rPr>
          <w:rFonts w:ascii="Calibri Light" w:hAnsi="Calibri Light" w:cs="Calibri Light"/>
          <w:b/>
          <w:bCs/>
          <w:i/>
          <w:iCs/>
          <w:sz w:val="22"/>
        </w:rPr>
        <w:t xml:space="preserve">« AFSA - Étude sur les services financiers et les opportunités d’amélioration des revenus ». La date limite de soumission est fixée au 28 août 2026 à 17 h 00, heure d’Afrique de l’Est</w:t>
      </w:r>
      <w:r w:rsidRPr="00C3218E">
        <w:rPr>
          <w:rFonts w:ascii="Calibri Light" w:hAnsi="Calibri Light" w:cs="Calibri Light"/>
          <w:sz w:val="22"/>
        </w:rPr>
        <w:t xml:space="preserve">. Les soumissions tardives ou incomplètes risquent de ne pas être prises en compte.</w:t>
      </w:r>
    </w:p>
    <w:sectPr w:rsidRPr="00C3218E" w:rsidR="00F17EEF" w:rsidSect="00034616">
      <w:footerReference w:type="default" r:id="rId11"/>
      <w:pgSz w:w="11909" w:h="16834"/>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1A5B" w:rsidRDefault="00A61A5B" w14:paraId="42BA0AEF" w14:textId="77777777">
      <w:pPr>
        <w:spacing w:after="0" w:line="240" w:lineRule="auto"/>
      </w:pPr>
      <w:r>
        <w:separator/>
      </w:r>
    </w:p>
  </w:endnote>
  <w:endnote w:type="continuationSeparator" w:id="0">
    <w:p w:rsidR="00A61A5B" w:rsidRDefault="00A61A5B" w14:paraId="6858C9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EEF" w:rsidRDefault="00000000" w14:paraId="7233D20C" w14:textId="77777777">
    <w:pPr>
      <w:pStyle w:val="Footer"/>
      <w:jc w:val="center"/>
    </w:pPr>
    <w:r>
      <w:fldChar w:fldCharType="begin"/>
    </w:r>
    <w:r>
      <w:instrText>PAGE</w:instrText>
    </w:r>
    <w:r>
      <w:fldChar w:fldCharType="separate"/>
    </w:r>
    <w:r w:rsidR="0005733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1A5B" w:rsidRDefault="00A61A5B" w14:paraId="44121D71" w14:textId="77777777">
      <w:pPr>
        <w:spacing w:after="0" w:line="240" w:lineRule="auto"/>
      </w:pPr>
      <w:r>
        <w:separator/>
      </w:r>
    </w:p>
  </w:footnote>
  <w:footnote w:type="continuationSeparator" w:id="0">
    <w:p w:rsidR="00A61A5B" w:rsidRDefault="00A61A5B" w14:paraId="55A5C5C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41868840">
    <w:abstractNumId w:val="8"/>
  </w:num>
  <w:num w:numId="2" w16cid:durableId="1559590144">
    <w:abstractNumId w:val="6"/>
  </w:num>
  <w:num w:numId="3" w16cid:durableId="938834901">
    <w:abstractNumId w:val="5"/>
  </w:num>
  <w:num w:numId="4" w16cid:durableId="1980303697">
    <w:abstractNumId w:val="4"/>
  </w:num>
  <w:num w:numId="5" w16cid:durableId="1752266974">
    <w:abstractNumId w:val="7"/>
  </w:num>
  <w:num w:numId="6" w16cid:durableId="499539453">
    <w:abstractNumId w:val="3"/>
  </w:num>
  <w:num w:numId="7" w16cid:durableId="1814177406">
    <w:abstractNumId w:val="2"/>
  </w:num>
  <w:num w:numId="8" w16cid:durableId="10570751">
    <w:abstractNumId w:val="1"/>
  </w:num>
  <w:num w:numId="9" w16cid:durableId="1394348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733C"/>
    <w:rsid w:val="0006063C"/>
    <w:rsid w:val="0015074B"/>
    <w:rsid w:val="00167CD5"/>
    <w:rsid w:val="0029639D"/>
    <w:rsid w:val="002E29D8"/>
    <w:rsid w:val="00323B58"/>
    <w:rsid w:val="00326F90"/>
    <w:rsid w:val="00875FD9"/>
    <w:rsid w:val="008A1081"/>
    <w:rsid w:val="00A61A5B"/>
    <w:rsid w:val="00AA1D8D"/>
    <w:rsid w:val="00B47730"/>
    <w:rsid w:val="00C3218E"/>
    <w:rsid w:val="00CB0664"/>
    <w:rsid w:val="00D0402B"/>
    <w:rsid w:val="00E83E20"/>
    <w:rsid w:val="00EB503F"/>
    <w:rsid w:val="00EE15FA"/>
    <w:rsid w:val="00F17EE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B5C673"/>
  <w14:defaultImageDpi w14:val="300"/>
  <w15:docId w15:val="{EF1EF28C-5A84-4145-A746-BB9CA7B16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color w:val="2F5597"/>
      <w:sz w:val="24"/>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05733C"/>
    <w:rPr>
      <w:color w:val="0000FF" w:themeColor="hyperlink"/>
      <w:u w:val="single"/>
    </w:rPr>
  </w:style>
  <w:style w:type="character" w:styleId="UnresolvedMention">
    <w:name w:val="Unresolved Mention"/>
    <w:basedOn w:val="DefaultParagraphFont"/>
    <w:uiPriority w:val="99"/>
    <w:semiHidden/>
    <w:unhideWhenUsed/>
    <w:rsid w:val="00057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fsa@afsafrica.org" TargetMode="External"/><Relationship Id="rId4" Type="http://schemas.openxmlformats.org/officeDocument/2006/relationships/settings" Target="settings.xml"/><Relationship Id="rId9" Type="http://schemas.openxmlformats.org/officeDocument/2006/relationships/hyperlink" Target="mailto:afsa@afsafric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4023</Words>
  <Characters>22933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Terms of Reference - Financial Services and Income-Enhancing Opportunities Study</vt:lpstr>
    </vt:vector>
  </TitlesOfParts>
  <Manager/>
  <Company/>
  <LinksUpToDate>false</LinksUpToDate>
  <CharactersWithSpaces>26903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Terms of Reference – Financial Services and Income-Enhancing Opportunities Study</dc:title>
  <dc:subject>Six-country study covering Uganda, Tanzania, Zimbabwe, Zambia, Senegal and Togo</dc:subject>
  <dc:creator>Alliance for Food Sovereignty in Africa (AFSA)</dc:creator>
  <keywords>AFSA, agroecological enterprises, financial services, terms of reference, docId:4A75D12D7A861E355A811E615B4AAFB4</keywords>
  <dc:description>generated by python-docx</dc:description>
  <lastModifiedBy>Ruth Nabaggala</lastModifiedBy>
  <revision>2</revision>
  <dcterms:created xsi:type="dcterms:W3CDTF">2026-08-18T09:45:00.0000000Z</dcterms:created>
  <dcterms:modified xsi:type="dcterms:W3CDTF">2026-08-18T09:45:00.0000000Z</dcterms:modified>
  <category/>
</coreProperties>
</file>